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left="1988" w:hanging="1988"/>
        <w:jc w:val="both"/>
        <w:rPr>
          <w:rFonts w:hint="default" w:ascii="Arial" w:hAnsi="Arial" w:cs="Arial"/>
          <w:b/>
          <w:sz w:val="24"/>
          <w:highlight w:val="none"/>
          <w:lang w:val="en-US" w:eastAsia="zh-CN"/>
        </w:rPr>
      </w:pPr>
      <w:r>
        <w:rPr>
          <w:rFonts w:ascii="Arial" w:hAnsi="Arial" w:cs="Arial"/>
          <w:b/>
          <w:sz w:val="28"/>
          <w:szCs w:val="28"/>
          <w:highlight w:val="none"/>
        </w:rPr>
        <w:t>3GPP TSG RAN Meeting #</w:t>
      </w:r>
      <w:r>
        <w:rPr>
          <w:rFonts w:hint="eastAsia" w:ascii="Arial" w:hAnsi="Arial" w:cs="Arial"/>
          <w:b/>
          <w:sz w:val="28"/>
          <w:szCs w:val="28"/>
          <w:highlight w:val="none"/>
          <w:lang w:val="en-US" w:eastAsia="zh-CN"/>
        </w:rPr>
        <w:t>102</w:t>
      </w:r>
      <w:r>
        <w:rPr>
          <w:rFonts w:ascii="Arial" w:hAnsi="Arial" w:cs="Arial"/>
          <w:b/>
          <w:sz w:val="24"/>
          <w:highlight w:val="none"/>
          <w:lang w:val="en-GB"/>
        </w:rPr>
        <w:tab/>
      </w:r>
      <w:r>
        <w:rPr>
          <w:rFonts w:ascii="Arial" w:hAnsi="Arial" w:cs="Arial"/>
          <w:b/>
          <w:sz w:val="24"/>
          <w:highlight w:val="none"/>
          <w:lang w:val="en-GB"/>
        </w:rPr>
        <w:tab/>
      </w:r>
      <w:r>
        <w:rPr>
          <w:rFonts w:ascii="Arial" w:hAnsi="Arial" w:cs="Arial"/>
          <w:b/>
          <w:sz w:val="24"/>
          <w:highlight w:val="none"/>
          <w:lang w:val="en-GB"/>
        </w:rPr>
        <w:tab/>
      </w:r>
      <w:r>
        <w:rPr>
          <w:rFonts w:ascii="Arial" w:hAnsi="Arial" w:cs="Arial"/>
          <w:b/>
          <w:sz w:val="24"/>
          <w:highlight w:val="none"/>
          <w:lang w:val="en-GB"/>
        </w:rPr>
        <w:tab/>
      </w:r>
      <w:r>
        <w:rPr>
          <w:rFonts w:ascii="Arial" w:hAnsi="Arial" w:cs="Arial"/>
          <w:b/>
          <w:sz w:val="24"/>
          <w:highlight w:val="none"/>
          <w:lang w:val="en-GB"/>
        </w:rPr>
        <w:tab/>
      </w:r>
      <w:r>
        <w:rPr>
          <w:rFonts w:ascii="Arial" w:hAnsi="Arial" w:cs="Arial"/>
          <w:b/>
          <w:sz w:val="24"/>
          <w:highlight w:val="none"/>
          <w:lang w:val="en-GB"/>
        </w:rPr>
        <w:tab/>
      </w:r>
      <w:r>
        <w:rPr>
          <w:rFonts w:ascii="Arial" w:hAnsi="Arial" w:cs="Arial"/>
          <w:b/>
          <w:sz w:val="24"/>
          <w:highlight w:val="none"/>
          <w:lang w:val="en-GB"/>
        </w:rPr>
        <w:tab/>
      </w:r>
      <w:r>
        <w:rPr>
          <w:rFonts w:ascii="Arial" w:hAnsi="Arial" w:cs="Arial"/>
          <w:b/>
          <w:sz w:val="24"/>
          <w:highlight w:val="none"/>
          <w:lang w:val="en-GB"/>
        </w:rPr>
        <w:tab/>
      </w:r>
      <w:r>
        <w:rPr>
          <w:rFonts w:ascii="Arial" w:hAnsi="Arial" w:cs="Arial"/>
          <w:b/>
          <w:sz w:val="24"/>
          <w:highlight w:val="none"/>
          <w:lang w:val="en-GB"/>
        </w:rPr>
        <w:tab/>
      </w:r>
      <w:r>
        <w:rPr>
          <w:rFonts w:ascii="Arial" w:hAnsi="Arial" w:cs="Arial"/>
          <w:b/>
          <w:sz w:val="24"/>
          <w:highlight w:val="none"/>
          <w:lang w:val="en-GB"/>
        </w:rPr>
        <w:tab/>
      </w:r>
      <w:r>
        <w:rPr>
          <w:rFonts w:ascii="Arial" w:hAnsi="Arial" w:cs="Arial"/>
          <w:b/>
          <w:sz w:val="24"/>
          <w:highlight w:val="none"/>
          <w:lang w:val="en-GB"/>
        </w:rPr>
        <w:tab/>
      </w:r>
      <w:r>
        <w:rPr>
          <w:rFonts w:ascii="Arial" w:hAnsi="Arial" w:cs="Arial"/>
          <w:b/>
          <w:sz w:val="24"/>
          <w:highlight w:val="none"/>
          <w:lang w:val="en-GB"/>
        </w:rPr>
        <w:tab/>
      </w:r>
      <w:r>
        <w:rPr>
          <w:rFonts w:ascii="Arial" w:hAnsi="Arial" w:cs="Arial"/>
          <w:b/>
          <w:sz w:val="24"/>
          <w:highlight w:val="none"/>
          <w:lang w:val="en-GB"/>
        </w:rPr>
        <w:tab/>
      </w:r>
      <w:r>
        <w:rPr>
          <w:rFonts w:ascii="Arial" w:hAnsi="Arial" w:cs="Arial"/>
          <w:b/>
          <w:sz w:val="24"/>
          <w:highlight w:val="none"/>
          <w:lang w:val="en-GB"/>
        </w:rPr>
        <w:tab/>
      </w:r>
      <w:r>
        <w:rPr>
          <w:rFonts w:ascii="Arial" w:hAnsi="Arial" w:cs="Arial"/>
          <w:b/>
          <w:sz w:val="24"/>
          <w:highlight w:val="none"/>
          <w:lang w:val="en-GB"/>
        </w:rPr>
        <w:tab/>
      </w:r>
      <w:r>
        <w:rPr>
          <w:rFonts w:ascii="Arial" w:hAnsi="Arial" w:cs="Arial"/>
          <w:b/>
          <w:sz w:val="24"/>
          <w:highlight w:val="none"/>
          <w:lang w:val="en-GB"/>
        </w:rPr>
        <w:tab/>
      </w:r>
      <w:r>
        <w:rPr>
          <w:rFonts w:hint="eastAsia" w:ascii="Arial" w:hAnsi="Arial" w:cs="Arial"/>
          <w:b/>
          <w:sz w:val="24"/>
          <w:highlight w:val="none"/>
          <w:lang w:val="en-US" w:eastAsia="zh-CN"/>
        </w:rPr>
        <w:t xml:space="preserve">     </w:t>
      </w:r>
      <w:r>
        <w:rPr>
          <w:rFonts w:hint="eastAsia" w:ascii="Arial" w:hAnsi="Arial" w:cs="Arial"/>
          <w:b/>
          <w:sz w:val="24"/>
          <w:highlight w:val="none"/>
          <w:lang w:val="en-GB" w:eastAsia="zh-CN"/>
        </w:rPr>
        <w:t>RP-2</w:t>
      </w:r>
      <w:r>
        <w:rPr>
          <w:rFonts w:hint="eastAsia" w:ascii="Arial" w:hAnsi="Arial" w:cs="Arial"/>
          <w:b/>
          <w:sz w:val="24"/>
          <w:highlight w:val="none"/>
          <w:lang w:val="en-US" w:eastAsia="zh-CN"/>
        </w:rPr>
        <w:t>33624</w:t>
      </w:r>
    </w:p>
    <w:p>
      <w:pPr>
        <w:keepLines/>
        <w:tabs>
          <w:tab w:val="left" w:pos="567"/>
        </w:tabs>
        <w:rPr>
          <w:rFonts w:hint="default" w:ascii="Arial" w:hAnsi="Arial" w:cs="Arial"/>
          <w:b/>
          <w:sz w:val="24"/>
          <w:highlight w:val="none"/>
          <w:lang w:val="en-US" w:eastAsia="zh-CN"/>
        </w:rPr>
      </w:pPr>
      <w:r>
        <w:rPr>
          <w:rFonts w:ascii="Arial" w:hAnsi="Arial" w:cs="Arial"/>
          <w:b/>
          <w:sz w:val="28"/>
          <w:szCs w:val="28"/>
        </w:rPr>
        <w:t>Edinburgh, Scotland, December 11-15, 2023</w:t>
      </w:r>
    </w:p>
    <w:p>
      <w:pPr>
        <w:spacing w:after="0"/>
        <w:ind w:left="1988" w:hanging="1988"/>
        <w:jc w:val="both"/>
        <w:rPr>
          <w:rFonts w:ascii="Arial" w:hAnsi="Arial" w:cs="Arial"/>
          <w:b/>
          <w:sz w:val="24"/>
          <w:lang w:val="en-GB"/>
        </w:rPr>
      </w:pPr>
    </w:p>
    <w:p>
      <w:pPr>
        <w:spacing w:after="0"/>
        <w:ind w:left="1988" w:hanging="1988"/>
        <w:jc w:val="both"/>
        <w:rPr>
          <w:rFonts w:hint="default" w:ascii="Arial" w:hAnsi="Arial" w:cs="Arial"/>
          <w:b/>
          <w:sz w:val="24"/>
          <w:lang w:val="en-US"/>
        </w:rPr>
      </w:pPr>
      <w:r>
        <w:rPr>
          <w:rFonts w:ascii="Arial" w:hAnsi="Arial" w:cs="Arial"/>
          <w:b/>
          <w:sz w:val="24"/>
          <w:lang w:val="en-GB"/>
        </w:rPr>
        <w:t xml:space="preserve">Source: </w:t>
      </w:r>
      <w:r>
        <w:rPr>
          <w:rFonts w:ascii="Arial" w:hAnsi="Arial" w:cs="Arial"/>
          <w:b/>
          <w:sz w:val="24"/>
          <w:lang w:val="en-GB"/>
        </w:rPr>
        <w:tab/>
      </w:r>
      <w:r>
        <w:rPr>
          <w:rFonts w:hint="eastAsia" w:ascii="Arial" w:hAnsi="Arial" w:cs="Arial"/>
          <w:b/>
          <w:sz w:val="24"/>
          <w:lang w:val="en-GB" w:eastAsia="zh-CN"/>
        </w:rPr>
        <w:t>ZTE</w:t>
      </w:r>
      <w:r>
        <w:rPr>
          <w:rFonts w:hint="eastAsia" w:ascii="Arial" w:hAnsi="Arial" w:cs="Arial"/>
          <w:b/>
          <w:sz w:val="24"/>
          <w:lang w:val="en-US" w:eastAsia="zh-CN"/>
        </w:rPr>
        <w:t xml:space="preserve">, </w:t>
      </w:r>
      <w:r>
        <w:rPr>
          <w:rStyle w:val="130"/>
          <w:rFonts w:hint="eastAsia"/>
          <w:b/>
          <w:lang w:val="en-US" w:eastAsia="zh-CN"/>
        </w:rPr>
        <w:t>Sanechips</w:t>
      </w:r>
    </w:p>
    <w:p>
      <w:pPr>
        <w:spacing w:after="0"/>
        <w:ind w:left="1988" w:hanging="1988"/>
        <w:jc w:val="both"/>
        <w:rPr>
          <w:rFonts w:hint="default" w:ascii="Arial" w:hAnsi="Arial" w:cs="Arial"/>
          <w:b/>
          <w:sz w:val="24"/>
          <w:lang w:val="en-US" w:eastAsia="zh-CN"/>
        </w:rPr>
      </w:pPr>
      <w:r>
        <w:rPr>
          <w:rFonts w:ascii="Arial" w:hAnsi="Arial" w:cs="Arial"/>
          <w:b/>
          <w:sz w:val="24"/>
          <w:lang w:val="en-GB"/>
        </w:rPr>
        <w:t>Title:</w:t>
      </w:r>
      <w:r>
        <w:rPr>
          <w:rFonts w:ascii="Arial" w:hAnsi="Arial" w:cs="Arial"/>
          <w:b/>
          <w:sz w:val="24"/>
          <w:lang w:val="en-GB"/>
        </w:rPr>
        <w:tab/>
      </w:r>
      <w:r>
        <w:rPr>
          <w:rFonts w:hint="eastAsia" w:ascii="Arial" w:hAnsi="Arial" w:cs="Arial"/>
          <w:b/>
          <w:sz w:val="24"/>
          <w:lang w:val="en-US" w:eastAsia="zh-CN"/>
        </w:rPr>
        <w:t>Views on additional topological enhancements</w:t>
      </w:r>
    </w:p>
    <w:p>
      <w:pPr>
        <w:spacing w:after="0"/>
        <w:ind w:left="1988" w:hanging="1988"/>
        <w:jc w:val="both"/>
        <w:rPr>
          <w:rFonts w:hint="eastAsia" w:ascii="Arial" w:hAnsi="Arial" w:eastAsia="宋体" w:cs="Arial"/>
          <w:b/>
          <w:sz w:val="24"/>
          <w:lang w:eastAsia="zh-CN"/>
        </w:rPr>
      </w:pPr>
      <w:r>
        <w:rPr>
          <w:rFonts w:ascii="Arial" w:hAnsi="Arial" w:cs="Arial"/>
          <w:b/>
          <w:sz w:val="24"/>
          <w:lang w:val="en-GB"/>
        </w:rPr>
        <w:t>Agenda item:</w:t>
      </w:r>
      <w:r>
        <w:rPr>
          <w:rFonts w:ascii="Arial" w:hAnsi="Arial" w:cs="Arial"/>
          <w:b/>
          <w:sz w:val="24"/>
          <w:lang w:val="en-GB"/>
        </w:rPr>
        <w:tab/>
      </w:r>
      <w:r>
        <w:rPr>
          <w:rFonts w:hint="eastAsia" w:ascii="Arial" w:hAnsi="Arial" w:cs="Arial"/>
          <w:b/>
          <w:sz w:val="24"/>
          <w:lang w:val="en-GB"/>
        </w:rPr>
        <w:t>9.</w:t>
      </w:r>
      <w:r>
        <w:rPr>
          <w:rFonts w:hint="eastAsia" w:ascii="Arial" w:hAnsi="Arial" w:cs="Arial"/>
          <w:b/>
          <w:sz w:val="24"/>
          <w:lang w:val="en-US" w:eastAsia="zh-CN"/>
        </w:rPr>
        <w:t>1</w:t>
      </w:r>
      <w:r>
        <w:rPr>
          <w:rFonts w:hint="eastAsia" w:ascii="Arial" w:hAnsi="Arial" w:cs="Arial"/>
          <w:b/>
          <w:sz w:val="24"/>
          <w:lang w:val="en-GB"/>
        </w:rPr>
        <w:t>.</w:t>
      </w:r>
      <w:r>
        <w:rPr>
          <w:rFonts w:hint="eastAsia" w:ascii="Arial" w:hAnsi="Arial" w:cs="Arial"/>
          <w:b/>
          <w:sz w:val="24"/>
          <w:lang w:val="en-US" w:eastAsia="zh-CN"/>
        </w:rPr>
        <w:t>3</w:t>
      </w:r>
      <w:r>
        <w:rPr>
          <w:rFonts w:hint="eastAsia" w:ascii="Arial" w:hAnsi="Arial" w:cs="Arial"/>
          <w:b/>
          <w:sz w:val="24"/>
          <w:lang w:val="en-GB"/>
        </w:rPr>
        <w:t>.</w:t>
      </w:r>
      <w:r>
        <w:rPr>
          <w:rFonts w:hint="eastAsia" w:ascii="Arial" w:hAnsi="Arial" w:cs="Arial"/>
          <w:b/>
          <w:sz w:val="24"/>
          <w:lang w:val="en-US" w:eastAsia="zh-CN"/>
        </w:rPr>
        <w:t>3</w:t>
      </w:r>
    </w:p>
    <w:p>
      <w:pPr>
        <w:spacing w:after="0"/>
        <w:ind w:left="1988" w:hanging="1988"/>
        <w:jc w:val="both"/>
        <w:rPr>
          <w:sz w:val="24"/>
          <w:lang w:val="en-GB"/>
        </w:rPr>
      </w:pPr>
      <w:r>
        <w:rPr>
          <w:rFonts w:ascii="Arial" w:hAnsi="Arial" w:cs="Arial"/>
          <w:b/>
          <w:sz w:val="24"/>
          <w:lang w:val="en-GB"/>
        </w:rPr>
        <w:t>Document for:</w:t>
      </w:r>
      <w:r>
        <w:rPr>
          <w:rFonts w:ascii="Arial" w:hAnsi="Arial" w:cs="Arial"/>
          <w:b/>
          <w:sz w:val="24"/>
          <w:lang w:val="en-GB"/>
        </w:rPr>
        <w:tab/>
      </w:r>
      <w:r>
        <w:rPr>
          <w:rFonts w:ascii="Arial" w:hAnsi="Arial" w:cs="Arial"/>
          <w:b/>
          <w:sz w:val="24"/>
          <w:lang w:val="en-GB"/>
        </w:rPr>
        <w:t>Discussion</w:t>
      </w:r>
    </w:p>
    <w:p>
      <w:pPr>
        <w:pStyle w:val="2"/>
        <w:numPr>
          <w:ilvl w:val="0"/>
          <w:numId w:val="3"/>
        </w:numPr>
        <w:ind w:left="360"/>
        <w:rPr>
          <w:lang w:eastAsia="zh-CN"/>
        </w:rPr>
      </w:pPr>
      <w:r>
        <w:rPr>
          <w:rFonts w:cs="Arial"/>
          <w:sz w:val="32"/>
          <w:szCs w:val="32"/>
        </w:rPr>
        <w:t>Introduction</w:t>
      </w:r>
    </w:p>
    <w:p>
      <w:pPr>
        <w:overflowPunct/>
        <w:autoSpaceDE/>
        <w:autoSpaceDN/>
        <w:adjustRightInd/>
        <w:spacing w:after="120"/>
        <w:jc w:val="both"/>
        <w:textAlignment w:val="auto"/>
        <w:rPr>
          <w:rFonts w:hint="default"/>
          <w:lang w:val="en-US" w:eastAsia="zh-CN"/>
        </w:rPr>
      </w:pPr>
      <w:r>
        <w:rPr>
          <w:rFonts w:hint="eastAsia"/>
          <w:lang w:eastAsia="zh-CN"/>
        </w:rPr>
        <w:t xml:space="preserve">In </w:t>
      </w:r>
      <w:r>
        <w:rPr>
          <w:rFonts w:hint="eastAsia"/>
          <w:lang w:val="en-US" w:eastAsia="zh-CN"/>
        </w:rPr>
        <w:t>RAN#101 meeting, the potential justification and working scope of additional topological enhancements were discussed extensively and the moderator</w:t>
      </w:r>
      <w:r>
        <w:rPr>
          <w:rFonts w:hint="default"/>
          <w:lang w:val="en-US" w:eastAsia="zh-CN"/>
        </w:rPr>
        <w:t>’</w:t>
      </w:r>
      <w:r>
        <w:rPr>
          <w:rFonts w:hint="eastAsia"/>
          <w:lang w:val="en-US" w:eastAsia="zh-CN"/>
        </w:rPr>
        <w:t>s summary on this topic were captured in [1]. According to the summary, the potential objectives of WAB and 5G Femto are listed as follows:</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pPr>
              <w:pStyle w:val="66"/>
              <w:numPr>
                <w:ilvl w:val="0"/>
                <w:numId w:val="0"/>
              </w:numPr>
              <w:spacing w:before="120"/>
              <w:jc w:val="both"/>
              <w:rPr>
                <w:rFonts w:hint="default" w:asciiTheme="minorAscii"/>
                <w:b/>
                <w:bCs/>
                <w:sz w:val="20"/>
                <w:szCs w:val="20"/>
                <w:lang w:val="en-US" w:eastAsia="zh-CN"/>
              </w:rPr>
            </w:pPr>
            <w:r>
              <w:rPr>
                <w:rFonts w:hint="eastAsia" w:asciiTheme="minorAscii"/>
                <w:b/>
                <w:bCs/>
                <w:sz w:val="20"/>
                <w:szCs w:val="20"/>
                <w:lang w:val="en-US" w:eastAsia="zh-CN"/>
              </w:rPr>
              <w:t xml:space="preserve">WAB and mobile IAB: </w:t>
            </w:r>
          </w:p>
          <w:p>
            <w:pPr>
              <w:pStyle w:val="66"/>
              <w:numPr>
                <w:ilvl w:val="0"/>
                <w:numId w:val="4"/>
              </w:numPr>
              <w:spacing w:before="120"/>
              <w:jc w:val="both"/>
              <w:rPr>
                <w:rFonts w:asciiTheme="minorAscii"/>
                <w:sz w:val="20"/>
                <w:szCs w:val="20"/>
                <w:lang w:val="en-GB" w:eastAsia="zh-CN"/>
              </w:rPr>
            </w:pPr>
            <w:r>
              <w:rPr>
                <w:rFonts w:asciiTheme="minorAscii"/>
                <w:sz w:val="20"/>
                <w:szCs w:val="20"/>
                <w:lang w:val="en-GB" w:eastAsia="zh-CN"/>
              </w:rPr>
              <w:t>Study enhancements for the support of WAB including (RAN3-led, RAN2):</w:t>
            </w:r>
          </w:p>
          <w:p>
            <w:pPr>
              <w:pStyle w:val="66"/>
              <w:numPr>
                <w:ilvl w:val="1"/>
                <w:numId w:val="4"/>
              </w:numPr>
              <w:spacing w:before="120"/>
              <w:jc w:val="both"/>
              <w:rPr>
                <w:rFonts w:asciiTheme="minorAscii"/>
                <w:sz w:val="20"/>
                <w:szCs w:val="20"/>
                <w:lang w:val="en-GB" w:eastAsia="zh-CN"/>
              </w:rPr>
            </w:pPr>
            <w:r>
              <w:rPr>
                <w:rFonts w:asciiTheme="minorAscii"/>
                <w:sz w:val="20"/>
                <w:szCs w:val="20"/>
                <w:lang w:val="en-GB" w:eastAsia="zh-CN"/>
              </w:rPr>
              <w:t xml:space="preserve">Study impact of gNB mobility within a stationary RAN and in proximity to other mobile gNBs: </w:t>
            </w:r>
          </w:p>
          <w:p>
            <w:pPr>
              <w:pStyle w:val="66"/>
              <w:numPr>
                <w:ilvl w:val="2"/>
                <w:numId w:val="4"/>
              </w:numPr>
              <w:spacing w:before="120"/>
              <w:jc w:val="both"/>
              <w:rPr>
                <w:rFonts w:asciiTheme="minorAscii"/>
                <w:sz w:val="20"/>
                <w:szCs w:val="20"/>
                <w:lang w:val="en-GB" w:eastAsia="zh-CN"/>
              </w:rPr>
            </w:pPr>
            <w:r>
              <w:rPr>
                <w:rFonts w:asciiTheme="minorAscii"/>
                <w:sz w:val="20"/>
                <w:szCs w:val="20"/>
                <w:lang w:val="en-GB" w:eastAsia="zh-CN"/>
              </w:rPr>
              <w:t xml:space="preserve">Identify the issues of dynamic inter-gNB neighbor relations resulting from gNB mobility, e.g., ANR, inter-gNB HO/DC and SON. </w:t>
            </w:r>
          </w:p>
          <w:p>
            <w:pPr>
              <w:pStyle w:val="66"/>
              <w:numPr>
                <w:ilvl w:val="2"/>
                <w:numId w:val="4"/>
              </w:numPr>
              <w:spacing w:before="120"/>
              <w:jc w:val="both"/>
              <w:rPr>
                <w:rFonts w:asciiTheme="minorAscii"/>
                <w:sz w:val="20"/>
                <w:szCs w:val="20"/>
                <w:lang w:val="en-GB" w:eastAsia="zh-CN"/>
              </w:rPr>
            </w:pPr>
            <w:r>
              <w:rPr>
                <w:rFonts w:asciiTheme="minorAscii"/>
                <w:sz w:val="20"/>
                <w:szCs w:val="20"/>
                <w:lang w:val="en-GB" w:eastAsia="zh-CN"/>
              </w:rPr>
              <w:t>Identify RAN-related issues when collocating a UPF with the gNB for MEC, local services and/or local inter-UE communications.</w:t>
            </w:r>
          </w:p>
          <w:p>
            <w:pPr>
              <w:pStyle w:val="66"/>
              <w:numPr>
                <w:ilvl w:val="2"/>
                <w:numId w:val="4"/>
              </w:numPr>
              <w:spacing w:before="120"/>
              <w:jc w:val="both"/>
              <w:rPr>
                <w:rFonts w:asciiTheme="minorAscii"/>
                <w:sz w:val="20"/>
                <w:szCs w:val="20"/>
                <w:lang w:val="en-GB" w:eastAsia="zh-CN"/>
              </w:rPr>
            </w:pPr>
            <w:r>
              <w:rPr>
                <w:rFonts w:asciiTheme="minorAscii"/>
                <w:sz w:val="20"/>
                <w:szCs w:val="20"/>
                <w:lang w:val="en-GB" w:eastAsia="zh-CN"/>
              </w:rPr>
              <w:t>Identify necessary inter-gNB- and gNB-to-CN signaling to address these issues.</w:t>
            </w:r>
          </w:p>
          <w:p>
            <w:pPr>
              <w:pStyle w:val="66"/>
              <w:numPr>
                <w:ilvl w:val="1"/>
                <w:numId w:val="4"/>
              </w:numPr>
              <w:spacing w:before="120"/>
              <w:jc w:val="both"/>
              <w:rPr>
                <w:rFonts w:asciiTheme="minorAscii"/>
                <w:sz w:val="20"/>
                <w:szCs w:val="20"/>
                <w:lang w:val="en-GB" w:eastAsia="zh-CN"/>
              </w:rPr>
            </w:pPr>
            <w:r>
              <w:rPr>
                <w:rFonts w:asciiTheme="minorAscii"/>
                <w:sz w:val="20"/>
                <w:szCs w:val="20"/>
                <w:lang w:val="en-GB" w:eastAsia="zh-CN"/>
              </w:rPr>
              <w:t>Study the signaling enhancements for the authorization of WAB nodes.</w:t>
            </w:r>
          </w:p>
          <w:p>
            <w:pPr>
              <w:pStyle w:val="66"/>
              <w:numPr>
                <w:ilvl w:val="1"/>
                <w:numId w:val="4"/>
              </w:numPr>
              <w:spacing w:before="120"/>
              <w:jc w:val="both"/>
              <w:rPr>
                <w:rFonts w:asciiTheme="minorAscii"/>
                <w:sz w:val="20"/>
                <w:szCs w:val="20"/>
                <w:lang w:val="en-GB" w:eastAsia="zh-CN"/>
              </w:rPr>
            </w:pPr>
            <w:r>
              <w:rPr>
                <w:rFonts w:asciiTheme="minorAscii"/>
                <w:sz w:val="20"/>
                <w:szCs w:val="20"/>
                <w:lang w:val="en-GB" w:eastAsia="zh-CN"/>
              </w:rPr>
              <w:t>Study signaling enhancements to extend the IAB resource multiplexing framework to WAB, as necessary.</w:t>
            </w:r>
          </w:p>
          <w:p>
            <w:pPr>
              <w:pStyle w:val="66"/>
              <w:numPr>
                <w:ilvl w:val="1"/>
                <w:numId w:val="4"/>
              </w:numPr>
              <w:spacing w:before="120"/>
              <w:jc w:val="both"/>
              <w:rPr>
                <w:rFonts w:asciiTheme="minorAscii"/>
                <w:sz w:val="20"/>
                <w:szCs w:val="20"/>
                <w:lang w:val="en-GB" w:eastAsia="zh-CN"/>
              </w:rPr>
            </w:pPr>
            <w:r>
              <w:rPr>
                <w:rFonts w:asciiTheme="minorAscii"/>
                <w:sz w:val="20"/>
                <w:szCs w:val="20"/>
                <w:lang w:val="en-GB" w:eastAsia="zh-CN"/>
              </w:rPr>
              <w:t>Study enhancements to QoS support on WAB backhaul, as necessary.</w:t>
            </w:r>
          </w:p>
          <w:p>
            <w:pPr>
              <w:pStyle w:val="66"/>
              <w:numPr>
                <w:ilvl w:val="0"/>
                <w:numId w:val="4"/>
              </w:numPr>
              <w:spacing w:before="120"/>
              <w:jc w:val="both"/>
              <w:rPr>
                <w:rFonts w:asciiTheme="minorAscii"/>
                <w:sz w:val="20"/>
                <w:szCs w:val="20"/>
                <w:lang w:val="en-GB" w:eastAsia="zh-CN"/>
              </w:rPr>
            </w:pPr>
            <w:r>
              <w:rPr>
                <w:rFonts w:asciiTheme="minorAscii"/>
                <w:sz w:val="20"/>
                <w:szCs w:val="20"/>
                <w:lang w:val="en-GB" w:eastAsia="zh-CN"/>
              </w:rPr>
              <w:t>Study enhancements for the support of single-donor IAB topology, including (RAN2-led, RAN3):</w:t>
            </w:r>
          </w:p>
          <w:p>
            <w:pPr>
              <w:pStyle w:val="66"/>
              <w:numPr>
                <w:ilvl w:val="1"/>
                <w:numId w:val="4"/>
              </w:numPr>
              <w:spacing w:before="120"/>
              <w:jc w:val="both"/>
              <w:rPr>
                <w:rFonts w:asciiTheme="minorAscii"/>
                <w:sz w:val="20"/>
                <w:szCs w:val="20"/>
                <w:lang w:val="en-GB" w:eastAsia="zh-CN"/>
              </w:rPr>
            </w:pPr>
            <w:r>
              <w:rPr>
                <w:rFonts w:asciiTheme="minorAscii"/>
                <w:sz w:val="20"/>
                <w:szCs w:val="20"/>
                <w:lang w:val="en-GB" w:eastAsia="zh-CN"/>
              </w:rPr>
              <w:t>Study enhancements to the robustness of multi-hop routing within the IAB topology in presence of local IAB-node mobility.</w:t>
            </w:r>
          </w:p>
          <w:p>
            <w:pPr>
              <w:spacing w:before="120"/>
              <w:ind w:firstLine="600" w:firstLineChars="300"/>
              <w:jc w:val="both"/>
              <w:rPr>
                <w:rFonts w:hAnsi="New York" w:asciiTheme="minorAscii"/>
                <w:sz w:val="20"/>
                <w:szCs w:val="20"/>
                <w:lang w:val="en-GB" w:eastAsia="zh-CN"/>
              </w:rPr>
            </w:pPr>
            <w:r>
              <w:rPr>
                <w:rFonts w:hAnsi="New York" w:asciiTheme="minorAscii"/>
                <w:sz w:val="20"/>
                <w:szCs w:val="20"/>
                <w:lang w:val="en-GB" w:eastAsia="zh-CN"/>
              </w:rPr>
              <w:t>Note: Access link for WAB backhaul can be TN or NTN.</w:t>
            </w:r>
          </w:p>
          <w:p>
            <w:pPr>
              <w:overflowPunct/>
              <w:autoSpaceDE/>
              <w:autoSpaceDN/>
              <w:adjustRightInd/>
              <w:spacing w:before="120" w:after="120"/>
              <w:jc w:val="both"/>
              <w:textAlignment w:val="auto"/>
              <w:rPr>
                <w:rFonts w:hint="eastAsia" w:hAnsi="New York" w:asciiTheme="minorAscii"/>
                <w:b/>
                <w:bCs/>
                <w:sz w:val="20"/>
                <w:szCs w:val="20"/>
                <w:vertAlign w:val="baseline"/>
                <w:lang w:val="en-US" w:eastAsia="zh-CN"/>
              </w:rPr>
            </w:pPr>
            <w:r>
              <w:rPr>
                <w:rFonts w:hint="eastAsia" w:hAnsi="New York" w:asciiTheme="minorAscii"/>
                <w:b/>
                <w:bCs/>
                <w:sz w:val="20"/>
                <w:szCs w:val="20"/>
                <w:vertAlign w:val="baseline"/>
                <w:lang w:val="en-US" w:eastAsia="zh-CN"/>
              </w:rPr>
              <w:t>5G Femto:</w:t>
            </w:r>
          </w:p>
          <w:p>
            <w:pPr>
              <w:pStyle w:val="66"/>
              <w:numPr>
                <w:ilvl w:val="0"/>
                <w:numId w:val="5"/>
              </w:numPr>
              <w:spacing w:before="120"/>
              <w:jc w:val="both"/>
              <w:rPr>
                <w:rFonts w:asciiTheme="minorAscii"/>
                <w:sz w:val="20"/>
                <w:szCs w:val="20"/>
                <w:lang w:val="en-GB" w:eastAsia="zh-CN"/>
              </w:rPr>
            </w:pPr>
            <w:r>
              <w:rPr>
                <w:rFonts w:asciiTheme="minorAscii"/>
                <w:sz w:val="20"/>
                <w:szCs w:val="20"/>
                <w:lang w:val="en-GB" w:eastAsia="zh-CN"/>
              </w:rPr>
              <w:t xml:space="preserve">Study the overall RAN architecture and required functional and procedural impacts for supporting 5G Femto deployments. </w:t>
            </w:r>
          </w:p>
          <w:p>
            <w:pPr>
              <w:pStyle w:val="66"/>
              <w:numPr>
                <w:ilvl w:val="0"/>
                <w:numId w:val="5"/>
              </w:numPr>
              <w:spacing w:before="120"/>
              <w:jc w:val="both"/>
              <w:rPr>
                <w:rFonts w:asciiTheme="minorAscii"/>
                <w:sz w:val="20"/>
                <w:szCs w:val="20"/>
                <w:lang w:val="en-GB" w:eastAsia="zh-CN"/>
              </w:rPr>
            </w:pPr>
            <w:r>
              <w:rPr>
                <w:rFonts w:asciiTheme="minorAscii"/>
                <w:sz w:val="20"/>
                <w:szCs w:val="20"/>
                <w:lang w:val="en-GB" w:eastAsia="zh-CN"/>
              </w:rPr>
              <w:t>Study how to define the 5G access control mechanism by (re-)using the existing CAG functionality and identify needed enhancements (if any).</w:t>
            </w:r>
          </w:p>
          <w:p>
            <w:pPr>
              <w:pStyle w:val="66"/>
              <w:numPr>
                <w:ilvl w:val="0"/>
                <w:numId w:val="5"/>
              </w:numPr>
              <w:spacing w:before="120"/>
              <w:jc w:val="both"/>
              <w:rPr>
                <w:rFonts w:asciiTheme="minorAscii"/>
                <w:sz w:val="20"/>
                <w:szCs w:val="20"/>
                <w:lang w:val="en-GB" w:eastAsia="zh-CN"/>
              </w:rPr>
            </w:pPr>
            <w:r>
              <w:rPr>
                <w:rFonts w:asciiTheme="minorAscii"/>
                <w:sz w:val="20"/>
                <w:szCs w:val="20"/>
                <w:lang w:val="en-GB" w:eastAsia="zh-CN"/>
              </w:rPr>
              <w:t>Study how to enable access to local services from the 5G Femto via collocated local UPF.</w:t>
            </w:r>
          </w:p>
          <w:p>
            <w:pPr>
              <w:spacing w:before="120"/>
              <w:ind w:firstLine="600" w:firstLineChars="300"/>
              <w:jc w:val="both"/>
              <w:rPr>
                <w:rFonts w:hint="default" w:ascii="New York" w:hAnsi="New York"/>
                <w:vertAlign w:val="baseline"/>
                <w:lang w:val="en-US" w:eastAsia="zh-CN"/>
              </w:rPr>
            </w:pPr>
            <w:r>
              <w:rPr>
                <w:rFonts w:hAnsi="New York" w:asciiTheme="minorAscii"/>
                <w:sz w:val="20"/>
                <w:szCs w:val="20"/>
                <w:lang w:val="en-GB" w:eastAsia="zh-CN"/>
              </w:rPr>
              <w:t>Note: The study involves a gap analysis of existing 5G functionality with HomeNB functionality.</w:t>
            </w:r>
          </w:p>
        </w:tc>
      </w:tr>
    </w:tbl>
    <w:p>
      <w:pPr>
        <w:keepNext w:val="0"/>
        <w:keepLines w:val="0"/>
        <w:pageBreakBefore w:val="0"/>
        <w:widowControl/>
        <w:kinsoku/>
        <w:wordWrap/>
        <w:overflowPunct/>
        <w:topLinePunct w:val="0"/>
        <w:autoSpaceDE/>
        <w:autoSpaceDN/>
        <w:bidi w:val="0"/>
        <w:adjustRightInd/>
        <w:snapToGrid/>
        <w:spacing w:before="137" w:beforeLines="50" w:after="120" w:line="260" w:lineRule="auto"/>
        <w:jc w:val="both"/>
        <w:textAlignment w:val="auto"/>
        <w:rPr>
          <w:rFonts w:hint="eastAsia"/>
          <w:lang w:eastAsia="zh-CN"/>
        </w:rPr>
      </w:pPr>
      <w:r>
        <w:rPr>
          <w:rFonts w:hint="eastAsia"/>
          <w:lang w:val="en-US" w:eastAsia="zh-CN"/>
        </w:rPr>
        <w:t>As highlighted in the moderator</w:t>
      </w:r>
      <w:r>
        <w:rPr>
          <w:rFonts w:hint="default"/>
          <w:lang w:val="en-US" w:eastAsia="zh-CN"/>
        </w:rPr>
        <w:t>’</w:t>
      </w:r>
      <w:r>
        <w:rPr>
          <w:rFonts w:hint="eastAsia"/>
          <w:lang w:val="en-US" w:eastAsia="zh-CN"/>
        </w:rPr>
        <w:t>s summary, t</w:t>
      </w:r>
      <w:r>
        <w:rPr>
          <w:lang w:val="en-GB" w:eastAsia="zh-CN"/>
        </w:rPr>
        <w:t>he</w:t>
      </w:r>
      <w:r>
        <w:rPr>
          <w:rFonts w:hint="eastAsia"/>
          <w:lang w:val="en-US" w:eastAsia="zh-CN"/>
        </w:rPr>
        <w:t>se</w:t>
      </w:r>
      <w:r>
        <w:rPr>
          <w:lang w:val="en-GB" w:eastAsia="zh-CN"/>
        </w:rPr>
        <w:t xml:space="preserve"> list of objectives</w:t>
      </w:r>
      <w:r>
        <w:rPr>
          <w:rFonts w:hint="eastAsia"/>
          <w:lang w:val="en-US" w:eastAsia="zh-CN"/>
        </w:rPr>
        <w:t xml:space="preserve"> are used</w:t>
      </w:r>
      <w:r>
        <w:rPr>
          <w:lang w:val="en-GB" w:eastAsia="zh-CN"/>
        </w:rPr>
        <w:t xml:space="preserve"> for further discussion, refinement, and down</w:t>
      </w:r>
      <w:r>
        <w:rPr>
          <w:rFonts w:hint="eastAsia"/>
          <w:lang w:val="en-US" w:eastAsia="zh-CN"/>
        </w:rPr>
        <w:t>-</w:t>
      </w:r>
      <w:r>
        <w:rPr>
          <w:lang w:val="en-GB" w:eastAsia="zh-CN"/>
        </w:rPr>
        <w:t>scoping in December in order to fit within the proposed TU budget endorsed</w:t>
      </w:r>
      <w:r>
        <w:rPr>
          <w:rFonts w:hint="eastAsia"/>
          <w:lang w:val="en-US" w:eastAsia="zh-CN"/>
        </w:rPr>
        <w:t xml:space="preserve">. </w:t>
      </w:r>
      <w:r>
        <w:t xml:space="preserve">In this contribution, we </w:t>
      </w:r>
      <w:r>
        <w:rPr>
          <w:rFonts w:hint="eastAsia"/>
          <w:lang w:val="en-US" w:eastAsia="zh-CN"/>
        </w:rPr>
        <w:t xml:space="preserve">will further </w:t>
      </w:r>
      <w:r>
        <w:t xml:space="preserve">discuss </w:t>
      </w:r>
      <w:r>
        <w:rPr>
          <w:rFonts w:hint="eastAsia"/>
          <w:lang w:val="en-US" w:eastAsia="zh-CN"/>
        </w:rPr>
        <w:t xml:space="preserve">the working scope of R19 topological enhancement considering the progress so far and the time line for this study. </w:t>
      </w:r>
    </w:p>
    <w:p>
      <w:pPr>
        <w:pStyle w:val="2"/>
        <w:numPr>
          <w:ilvl w:val="0"/>
          <w:numId w:val="3"/>
        </w:numPr>
        <w:ind w:left="360"/>
        <w:rPr>
          <w:rFonts w:ascii="Arial" w:hAnsi="Arial" w:eastAsia="宋体" w:cs="Arial"/>
          <w:sz w:val="32"/>
          <w:szCs w:val="32"/>
        </w:rPr>
      </w:pPr>
      <w:r>
        <w:rPr>
          <w:rFonts w:hint="eastAsia" w:ascii="Arial" w:hAnsi="Arial" w:eastAsia="宋体" w:cs="Arial"/>
          <w:sz w:val="32"/>
          <w:szCs w:val="32"/>
          <w:lang w:val="en-US" w:eastAsia="zh-CN"/>
        </w:rPr>
        <w:t>Discussion</w:t>
      </w:r>
    </w:p>
    <w:p>
      <w:pPr>
        <w:pStyle w:val="3"/>
        <w:bidi w:val="0"/>
        <w:rPr>
          <w:rFonts w:hint="eastAsia"/>
          <w:lang w:val="en-US" w:eastAsia="zh-CN"/>
        </w:rPr>
      </w:pPr>
      <w:r>
        <w:rPr>
          <w:rFonts w:hint="eastAsia"/>
          <w:lang w:val="en-US" w:eastAsia="zh-CN"/>
        </w:rPr>
        <w:t>2.1 WAB and mobile IAB</w:t>
      </w:r>
    </w:p>
    <w:p>
      <w:pPr>
        <w:numPr>
          <w:ilvl w:val="0"/>
          <w:numId w:val="6"/>
        </w:numPr>
        <w:ind w:left="420" w:leftChars="0" w:hanging="420" w:firstLineChars="0"/>
        <w:rPr>
          <w:rFonts w:hint="default"/>
          <w:lang w:val="en-US" w:eastAsia="zh-CN"/>
        </w:rPr>
      </w:pPr>
      <w:r>
        <w:rPr>
          <w:rFonts w:hint="eastAsia"/>
          <w:lang w:val="en-US" w:eastAsia="zh-CN"/>
        </w:rPr>
        <w:t>WAB</w:t>
      </w:r>
    </w:p>
    <w:p>
      <w:pPr>
        <w:numPr>
          <w:ilvl w:val="0"/>
          <w:numId w:val="0"/>
        </w:numPr>
        <w:overflowPunct w:val="0"/>
        <w:autoSpaceDE w:val="0"/>
        <w:autoSpaceDN w:val="0"/>
        <w:adjustRightInd w:val="0"/>
        <w:spacing w:after="180" w:line="259" w:lineRule="auto"/>
        <w:jc w:val="both"/>
        <w:textAlignment w:val="baseline"/>
        <w:rPr>
          <w:rFonts w:hint="eastAsia"/>
          <w:lang w:val="en-US" w:eastAsia="zh-CN"/>
        </w:rPr>
      </w:pPr>
      <w:r>
        <w:rPr>
          <w:rFonts w:hint="eastAsia"/>
          <w:lang w:val="en-US" w:eastAsia="zh-CN"/>
        </w:rPr>
        <w:t>As we know, s</w:t>
      </w:r>
      <w:r>
        <w:rPr>
          <w:rFonts w:hint="default"/>
          <w:lang w:val="en-US" w:eastAsia="zh-CN"/>
        </w:rPr>
        <w:t xml:space="preserve">everal VMR requirements have been addressed in R18 mobile IAB WI. </w:t>
      </w:r>
      <w:r>
        <w:rPr>
          <w:rFonts w:hint="eastAsia"/>
          <w:lang w:val="en-US" w:eastAsia="zh-CN"/>
        </w:rPr>
        <w:t xml:space="preserve">To be specific, </w:t>
      </w:r>
      <w:r>
        <w:rPr>
          <w:rFonts w:hint="default"/>
          <w:lang w:val="en-US" w:eastAsia="zh-CN"/>
        </w:rPr>
        <w:t xml:space="preserve">R16/17 IAB </w:t>
      </w:r>
      <w:r>
        <w:rPr>
          <w:rFonts w:hint="eastAsia"/>
          <w:lang w:val="en-US" w:eastAsia="zh-CN"/>
        </w:rPr>
        <w:t>a</w:t>
      </w:r>
      <w:r>
        <w:rPr>
          <w:rFonts w:hint="default"/>
          <w:lang w:val="en-US" w:eastAsia="zh-CN"/>
        </w:rPr>
        <w:t>rchitecture</w:t>
      </w:r>
      <w:r>
        <w:rPr>
          <w:rFonts w:hint="eastAsia"/>
          <w:lang w:val="en-US" w:eastAsia="zh-CN"/>
        </w:rPr>
        <w:t xml:space="preserve"> </w:t>
      </w:r>
      <w:r>
        <w:rPr>
          <w:rFonts w:hint="default"/>
          <w:lang w:val="en-US" w:eastAsia="zh-CN"/>
        </w:rPr>
        <w:t>is leveraged in R18 mobile IAB</w:t>
      </w:r>
      <w:r>
        <w:rPr>
          <w:rFonts w:hint="eastAsia"/>
          <w:lang w:val="en-US" w:eastAsia="zh-CN"/>
        </w:rPr>
        <w:t xml:space="preserve"> where the mobile IAB node with only IAB-MT and IAB-DU functionality is mounted on the vehicle</w:t>
      </w:r>
      <w:r>
        <w:rPr>
          <w:rFonts w:hint="default"/>
          <w:lang w:val="en-US" w:eastAsia="zh-CN"/>
        </w:rPr>
        <w:t xml:space="preserve">. </w:t>
      </w:r>
      <w:r>
        <w:rPr>
          <w:rFonts w:hint="eastAsia"/>
          <w:lang w:val="en-US" w:eastAsia="zh-CN"/>
        </w:rPr>
        <w:t xml:space="preserve">Suppose the mobile IAB-DU migrates from one donor CU to another donor CU along the movement, all the UEs onboard have to migrate together with the mobile IAB-DU. </w:t>
      </w:r>
      <w:r>
        <w:rPr>
          <w:rFonts w:hint="default"/>
          <w:lang w:val="en-US" w:eastAsia="zh-CN"/>
        </w:rPr>
        <w:t xml:space="preserve">The separate MT migration and DU migration together with the UE migration make the </w:t>
      </w:r>
      <w:r>
        <w:rPr>
          <w:rFonts w:hint="eastAsia"/>
          <w:lang w:val="en-US" w:eastAsia="zh-CN"/>
        </w:rPr>
        <w:t xml:space="preserve">design very </w:t>
      </w:r>
      <w:r>
        <w:rPr>
          <w:rFonts w:hint="default"/>
          <w:lang w:val="en-US" w:eastAsia="zh-CN"/>
        </w:rPr>
        <w:t>complicated</w:t>
      </w:r>
      <w:r>
        <w:rPr>
          <w:rFonts w:hint="eastAsia"/>
          <w:lang w:val="en-US" w:eastAsia="zh-CN"/>
        </w:rPr>
        <w:t xml:space="preserve"> and </w:t>
      </w:r>
      <w:r>
        <w:rPr>
          <w:rFonts w:hint="default"/>
          <w:lang w:val="en-US" w:eastAsia="zh-CN"/>
        </w:rPr>
        <w:t>not easy for implementation</w:t>
      </w:r>
      <w:r>
        <w:rPr>
          <w:rFonts w:hint="eastAsia"/>
          <w:lang w:val="en-US" w:eastAsia="zh-CN"/>
        </w:rPr>
        <w:t xml:space="preserve">. </w:t>
      </w:r>
    </w:p>
    <w:p>
      <w:pPr>
        <w:numPr>
          <w:ilvl w:val="0"/>
          <w:numId w:val="0"/>
        </w:numPr>
        <w:overflowPunct w:val="0"/>
        <w:autoSpaceDE w:val="0"/>
        <w:autoSpaceDN w:val="0"/>
        <w:adjustRightInd w:val="0"/>
        <w:spacing w:after="180" w:line="259" w:lineRule="auto"/>
        <w:jc w:val="both"/>
        <w:textAlignment w:val="baseline"/>
        <w:rPr>
          <w:rFonts w:hint="default"/>
          <w:lang w:val="en-US" w:eastAsia="zh-CN"/>
        </w:rPr>
      </w:pPr>
      <w:r>
        <w:rPr>
          <w:rFonts w:hint="eastAsia"/>
          <w:lang w:val="en-US" w:eastAsia="zh-CN"/>
        </w:rPr>
        <w:t>In order to support a simplified VMR solution and reduce the signalling overhead of group handover, WAB which  has full gNB and UE functionality on the vehicle and works as relay node is proposed to be studied in R19. The potential objectives of WAB based on the moderator summary are listed as follows:</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pPr>
              <w:pStyle w:val="66"/>
              <w:numPr>
                <w:ilvl w:val="0"/>
                <w:numId w:val="4"/>
              </w:numPr>
              <w:spacing w:before="120"/>
              <w:jc w:val="both"/>
              <w:rPr>
                <w:sz w:val="20"/>
                <w:szCs w:val="20"/>
                <w:lang w:val="en-GB" w:eastAsia="zh-CN"/>
              </w:rPr>
            </w:pPr>
            <w:r>
              <w:rPr>
                <w:sz w:val="20"/>
                <w:szCs w:val="20"/>
                <w:lang w:val="en-GB" w:eastAsia="zh-CN"/>
              </w:rPr>
              <w:t>Study enhancements for the support of WAB including (RAN3-led, RAN2):</w:t>
            </w:r>
          </w:p>
          <w:p>
            <w:pPr>
              <w:pStyle w:val="66"/>
              <w:numPr>
                <w:ilvl w:val="1"/>
                <w:numId w:val="4"/>
              </w:numPr>
              <w:spacing w:before="120"/>
              <w:jc w:val="both"/>
              <w:rPr>
                <w:sz w:val="20"/>
                <w:szCs w:val="20"/>
                <w:lang w:val="en-GB" w:eastAsia="zh-CN"/>
              </w:rPr>
            </w:pPr>
            <w:r>
              <w:rPr>
                <w:sz w:val="20"/>
                <w:szCs w:val="20"/>
                <w:lang w:val="en-GB" w:eastAsia="zh-CN"/>
              </w:rPr>
              <w:t xml:space="preserve">Study impact of gNB mobility within a stationary RAN and in proximity to other mobile gNBs: </w:t>
            </w:r>
          </w:p>
          <w:p>
            <w:pPr>
              <w:pStyle w:val="66"/>
              <w:numPr>
                <w:ilvl w:val="2"/>
                <w:numId w:val="4"/>
              </w:numPr>
              <w:spacing w:before="120"/>
              <w:jc w:val="both"/>
              <w:rPr>
                <w:sz w:val="20"/>
                <w:szCs w:val="20"/>
                <w:lang w:val="en-GB" w:eastAsia="zh-CN"/>
              </w:rPr>
            </w:pPr>
            <w:r>
              <w:rPr>
                <w:sz w:val="20"/>
                <w:szCs w:val="20"/>
                <w:lang w:val="en-GB" w:eastAsia="zh-CN"/>
              </w:rPr>
              <w:t xml:space="preserve">Identify the issues of dynamic inter-gNB neighbor relations resulting from gNB mobility, e.g., ANR, inter-gNB HO/DC and SON. </w:t>
            </w:r>
          </w:p>
          <w:p>
            <w:pPr>
              <w:pStyle w:val="66"/>
              <w:numPr>
                <w:ilvl w:val="2"/>
                <w:numId w:val="4"/>
              </w:numPr>
              <w:spacing w:before="120"/>
              <w:jc w:val="both"/>
              <w:rPr>
                <w:sz w:val="20"/>
                <w:szCs w:val="20"/>
                <w:lang w:val="en-GB" w:eastAsia="zh-CN"/>
              </w:rPr>
            </w:pPr>
            <w:r>
              <w:rPr>
                <w:sz w:val="20"/>
                <w:szCs w:val="20"/>
                <w:lang w:val="en-GB" w:eastAsia="zh-CN"/>
              </w:rPr>
              <w:t>Identify RAN-related issues when collocating a UPF with the gNB for MEC, local services and/or local inter-UE communications.</w:t>
            </w:r>
          </w:p>
          <w:p>
            <w:pPr>
              <w:pStyle w:val="66"/>
              <w:numPr>
                <w:ilvl w:val="2"/>
                <w:numId w:val="4"/>
              </w:numPr>
              <w:spacing w:before="120"/>
              <w:jc w:val="both"/>
              <w:rPr>
                <w:sz w:val="20"/>
                <w:szCs w:val="20"/>
                <w:lang w:val="en-GB" w:eastAsia="zh-CN"/>
              </w:rPr>
            </w:pPr>
            <w:r>
              <w:rPr>
                <w:sz w:val="20"/>
                <w:szCs w:val="20"/>
                <w:lang w:val="en-GB" w:eastAsia="zh-CN"/>
              </w:rPr>
              <w:t>Identify necessary inter-gNB- and gNB-to-CN signaling to address these issues.</w:t>
            </w:r>
          </w:p>
          <w:p>
            <w:pPr>
              <w:pStyle w:val="66"/>
              <w:numPr>
                <w:ilvl w:val="1"/>
                <w:numId w:val="4"/>
              </w:numPr>
              <w:spacing w:before="120"/>
              <w:jc w:val="both"/>
              <w:rPr>
                <w:sz w:val="20"/>
                <w:szCs w:val="20"/>
                <w:lang w:val="en-GB" w:eastAsia="zh-CN"/>
              </w:rPr>
            </w:pPr>
            <w:r>
              <w:rPr>
                <w:sz w:val="20"/>
                <w:szCs w:val="20"/>
                <w:lang w:val="en-GB" w:eastAsia="zh-CN"/>
              </w:rPr>
              <w:t>Study the signaling enhancements for the authorization of WAB nodes.</w:t>
            </w:r>
          </w:p>
          <w:p>
            <w:pPr>
              <w:pStyle w:val="66"/>
              <w:numPr>
                <w:ilvl w:val="1"/>
                <w:numId w:val="4"/>
              </w:numPr>
              <w:spacing w:before="120"/>
              <w:jc w:val="both"/>
              <w:rPr>
                <w:sz w:val="20"/>
                <w:szCs w:val="20"/>
                <w:lang w:val="en-GB" w:eastAsia="zh-CN"/>
              </w:rPr>
            </w:pPr>
            <w:r>
              <w:rPr>
                <w:sz w:val="20"/>
                <w:szCs w:val="20"/>
                <w:lang w:val="en-GB" w:eastAsia="zh-CN"/>
              </w:rPr>
              <w:t>Study signaling enhancements to extend the IAB resource multiplexing framework to WAB, as necessary.</w:t>
            </w:r>
          </w:p>
          <w:p>
            <w:pPr>
              <w:pStyle w:val="66"/>
              <w:numPr>
                <w:ilvl w:val="1"/>
                <w:numId w:val="4"/>
              </w:numPr>
              <w:spacing w:before="120"/>
              <w:jc w:val="both"/>
              <w:rPr>
                <w:rFonts w:hint="eastAsia"/>
                <w:vertAlign w:val="baseline"/>
                <w:lang w:val="en-US" w:eastAsia="zh-CN"/>
              </w:rPr>
            </w:pPr>
            <w:r>
              <w:rPr>
                <w:sz w:val="20"/>
                <w:szCs w:val="20"/>
                <w:lang w:val="en-GB" w:eastAsia="zh-CN"/>
              </w:rPr>
              <w:t>Study enhancements to QoS support on WAB backhaul, as necessary.</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37" w:beforeLines="50" w:after="180" w:line="260" w:lineRule="auto"/>
        <w:jc w:val="both"/>
        <w:textAlignment w:val="baseline"/>
        <w:rPr>
          <w:rFonts w:hint="eastAsia"/>
          <w:lang w:val="en-US" w:eastAsia="zh-CN"/>
        </w:rPr>
      </w:pPr>
      <w:r>
        <w:rPr>
          <w:rFonts w:hint="eastAsia"/>
          <w:lang w:val="en-US" w:eastAsia="zh-CN"/>
        </w:rPr>
        <w:t xml:space="preserve">Generally speaking, we are supportive with the WAB study. However, the detailed working scope may be further discussed. To be specific, in addition to the study of gNB mobility and authorization of WAB node, the network architecture and protocol stack design with full gNB and UE functionality at the WAB node should be firstly investigated. As we know, the architecture for gNB based IAB node has been discussed in R16 IAB study phase and the architecture group 2 captured in TR 38.874 can be used as baseline. However, R16 IAB considers multi-hop but no mobility feature and there are three sub-candidates on the table for the architecture group 2. Based on this observation, it is necessary to take into account the new features of WAB and reconsider the network architecture and protocol stack for WAB.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37" w:beforeLines="50" w:after="180" w:line="260" w:lineRule="auto"/>
        <w:jc w:val="both"/>
        <w:textAlignment w:val="baseline"/>
        <w:rPr>
          <w:rFonts w:hint="default"/>
          <w:b/>
          <w:bCs/>
          <w:lang w:val="en-US" w:eastAsia="zh-CN"/>
        </w:rPr>
      </w:pPr>
      <w:r>
        <w:rPr>
          <w:rFonts w:hint="eastAsia"/>
          <w:b/>
          <w:bCs/>
          <w:lang w:val="en-US" w:eastAsia="zh-CN"/>
        </w:rPr>
        <w:t xml:space="preserve">Observation 1: For the WAB, the network </w:t>
      </w:r>
      <w:r>
        <w:rPr>
          <w:rFonts w:hint="default"/>
          <w:b/>
          <w:bCs/>
          <w:lang w:val="en-US" w:eastAsia="zh-CN"/>
        </w:rPr>
        <w:t>architecture</w:t>
      </w:r>
      <w:r>
        <w:rPr>
          <w:rFonts w:hint="eastAsia"/>
          <w:b/>
          <w:bCs/>
          <w:lang w:val="en-US" w:eastAsia="zh-CN"/>
        </w:rPr>
        <w:t xml:space="preserve"> and </w:t>
      </w:r>
      <w:r>
        <w:rPr>
          <w:rFonts w:hint="default"/>
          <w:b/>
          <w:bCs/>
          <w:lang w:val="en-US" w:eastAsia="zh-CN"/>
        </w:rPr>
        <w:t>protocol</w:t>
      </w:r>
      <w:r>
        <w:rPr>
          <w:rFonts w:hint="eastAsia"/>
          <w:b/>
          <w:bCs/>
          <w:lang w:val="en-US" w:eastAsia="zh-CN"/>
        </w:rPr>
        <w:t xml:space="preserve"> stack</w:t>
      </w:r>
      <w:r>
        <w:rPr>
          <w:rFonts w:hint="default"/>
          <w:b/>
          <w:bCs/>
          <w:lang w:val="en-US" w:eastAsia="zh-CN"/>
        </w:rPr>
        <w:t xml:space="preserve"> </w:t>
      </w:r>
      <w:r>
        <w:rPr>
          <w:rFonts w:hint="eastAsia"/>
          <w:b/>
          <w:bCs/>
          <w:lang w:val="en-US" w:eastAsia="zh-CN"/>
        </w:rPr>
        <w:t xml:space="preserve">design considering the WAB </w:t>
      </w:r>
      <w:r>
        <w:rPr>
          <w:rFonts w:hint="default"/>
          <w:b/>
          <w:bCs/>
          <w:lang w:val="en-US" w:eastAsia="zh-CN"/>
        </w:rPr>
        <w:t xml:space="preserve">node with full gNB </w:t>
      </w:r>
      <w:r>
        <w:rPr>
          <w:rFonts w:hint="eastAsia"/>
          <w:b/>
          <w:bCs/>
          <w:lang w:val="en-US" w:eastAsia="zh-CN"/>
        </w:rPr>
        <w:t xml:space="preserve">and UE </w:t>
      </w:r>
      <w:r>
        <w:rPr>
          <w:rFonts w:hint="default"/>
          <w:b/>
          <w:bCs/>
          <w:lang w:val="en-US" w:eastAsia="zh-CN"/>
        </w:rPr>
        <w:t>functionality</w:t>
      </w:r>
      <w:r>
        <w:rPr>
          <w:rFonts w:hint="eastAsia"/>
          <w:b/>
          <w:bCs/>
          <w:lang w:val="en-US" w:eastAsia="zh-CN"/>
        </w:rPr>
        <w:t xml:space="preserve"> need to be studied</w:t>
      </w:r>
      <w:r>
        <w:rPr>
          <w:rFonts w:hint="default"/>
          <w:b/>
          <w:bCs/>
          <w:lang w:val="en-US" w:eastAsia="zh-CN"/>
        </w:rPr>
        <w:t xml:space="preserve">. </w:t>
      </w:r>
    </w:p>
    <w:p>
      <w:pPr>
        <w:numPr>
          <w:ilvl w:val="0"/>
          <w:numId w:val="0"/>
        </w:numPr>
        <w:overflowPunct w:val="0"/>
        <w:autoSpaceDE w:val="0"/>
        <w:autoSpaceDN w:val="0"/>
        <w:adjustRightInd w:val="0"/>
        <w:spacing w:after="180" w:line="259" w:lineRule="auto"/>
        <w:jc w:val="both"/>
        <w:textAlignment w:val="baseline"/>
        <w:rPr>
          <w:rFonts w:hint="eastAsia"/>
          <w:lang w:val="en-US" w:eastAsia="zh-CN"/>
        </w:rPr>
      </w:pPr>
      <w:r>
        <w:rPr>
          <w:rFonts w:hint="eastAsia"/>
          <w:lang w:val="en-US" w:eastAsia="zh-CN"/>
        </w:rPr>
        <w:t xml:space="preserve">Moreover, for the </w:t>
      </w:r>
      <w:r>
        <w:rPr>
          <w:lang w:val="en-GB" w:eastAsia="zh-CN"/>
        </w:rPr>
        <w:t>dynamic inter-gNB neighbor relations</w:t>
      </w:r>
      <w:r>
        <w:rPr>
          <w:rFonts w:hint="eastAsia"/>
          <w:lang w:val="en-US" w:eastAsia="zh-CN"/>
        </w:rPr>
        <w:t xml:space="preserve">, it is not clear whether the surrounding stationary cells need to dynamically update its neighbour cell relation table (NCRT) to capture these occasionally appeared WAB cell. As we know, the working frequency and PCI of mobile WAB cell may change along the movement to avoid PCI or resource collision with surrounding cells.  Considering that the WAB cell may leave soon, it seems not necessary for the stationary surrounding cells to add the mobile cells to the neighboring gNB's NCRT and even setup Xn interface. This can be further discussed in the study. </w:t>
      </w:r>
    </w:p>
    <w:p>
      <w:pPr>
        <w:numPr>
          <w:ilvl w:val="0"/>
          <w:numId w:val="0"/>
        </w:numPr>
        <w:overflowPunct w:val="0"/>
        <w:autoSpaceDE w:val="0"/>
        <w:autoSpaceDN w:val="0"/>
        <w:adjustRightInd w:val="0"/>
        <w:spacing w:after="180" w:line="259" w:lineRule="auto"/>
        <w:jc w:val="both"/>
        <w:textAlignment w:val="baseline"/>
        <w:rPr>
          <w:rFonts w:hint="eastAsia"/>
          <w:lang w:val="en-US" w:eastAsia="zh-CN"/>
        </w:rPr>
      </w:pPr>
      <w:r>
        <w:rPr>
          <w:rFonts w:hint="eastAsia"/>
          <w:lang w:val="en-US" w:eastAsia="zh-CN"/>
        </w:rPr>
        <w:t xml:space="preserve">With regard to the local service support of WAB node, we think it is beneficial to study it. With the local service, the traffic load requirement on backhaul and the end-to-end latency may be greatly reduced. However, for the SI phase objective, we only need to mention the study of local service support for WAB node. The potential solutions, such as </w:t>
      </w:r>
      <w:r>
        <w:rPr>
          <w:lang w:val="en-GB" w:eastAsia="zh-CN"/>
        </w:rPr>
        <w:t>collocating a UPF with the gNB for MEC</w:t>
      </w:r>
      <w:r>
        <w:rPr>
          <w:rFonts w:hint="eastAsia"/>
          <w:lang w:val="en-US" w:eastAsia="zh-CN"/>
        </w:rPr>
        <w:t xml:space="preserve"> and </w:t>
      </w:r>
      <w:r>
        <w:rPr>
          <w:lang w:val="en-GB" w:eastAsia="zh-CN"/>
        </w:rPr>
        <w:t>local inter-UE communications</w:t>
      </w:r>
      <w:r>
        <w:rPr>
          <w:rFonts w:hint="eastAsia"/>
          <w:lang w:val="en-US" w:eastAsia="zh-CN"/>
        </w:rPr>
        <w:t xml:space="preserve"> can be discussed during the study phase.</w:t>
      </w:r>
    </w:p>
    <w:p>
      <w:pPr>
        <w:numPr>
          <w:ilvl w:val="0"/>
          <w:numId w:val="0"/>
        </w:numPr>
        <w:overflowPunct w:val="0"/>
        <w:autoSpaceDE w:val="0"/>
        <w:autoSpaceDN w:val="0"/>
        <w:adjustRightInd w:val="0"/>
        <w:spacing w:after="180" w:line="259" w:lineRule="auto"/>
        <w:jc w:val="both"/>
        <w:textAlignment w:val="baseline"/>
        <w:rPr>
          <w:rFonts w:hint="eastAsia"/>
          <w:b/>
          <w:bCs/>
          <w:lang w:val="en-US" w:eastAsia="zh-CN"/>
        </w:rPr>
      </w:pPr>
      <w:r>
        <w:rPr>
          <w:rFonts w:hint="eastAsia"/>
          <w:b/>
          <w:bCs/>
          <w:lang w:val="en-US" w:eastAsia="zh-CN"/>
        </w:rPr>
        <w:t xml:space="preserve">Observation 2: For the WAB, the </w:t>
      </w:r>
      <w:r>
        <w:rPr>
          <w:b/>
          <w:bCs/>
          <w:sz w:val="20"/>
          <w:szCs w:val="20"/>
          <w:lang w:val="en-GB" w:eastAsia="zh-CN"/>
        </w:rPr>
        <w:t>dynamic inter-gNB neighbor relations</w:t>
      </w:r>
      <w:r>
        <w:rPr>
          <w:rFonts w:hint="eastAsia"/>
          <w:b/>
          <w:bCs/>
          <w:sz w:val="20"/>
          <w:szCs w:val="20"/>
          <w:lang w:val="en-US" w:eastAsia="zh-CN"/>
        </w:rPr>
        <w:t xml:space="preserve"> and </w:t>
      </w:r>
      <w:r>
        <w:rPr>
          <w:rFonts w:hint="eastAsia"/>
          <w:b/>
          <w:bCs/>
          <w:lang w:val="en-US" w:eastAsia="zh-CN"/>
        </w:rPr>
        <w:t xml:space="preserve">local service support need to be studied. The detailed solutions can be left to study phase. </w:t>
      </w:r>
    </w:p>
    <w:p>
      <w:pPr>
        <w:numPr>
          <w:ilvl w:val="0"/>
          <w:numId w:val="0"/>
        </w:numPr>
        <w:overflowPunct w:val="0"/>
        <w:autoSpaceDE w:val="0"/>
        <w:autoSpaceDN w:val="0"/>
        <w:adjustRightInd w:val="0"/>
        <w:spacing w:after="180" w:line="259" w:lineRule="auto"/>
        <w:jc w:val="both"/>
        <w:textAlignment w:val="baseline"/>
        <w:rPr>
          <w:rFonts w:hint="default"/>
          <w:b w:val="0"/>
          <w:bCs w:val="0"/>
          <w:lang w:val="en-US" w:eastAsia="zh-CN"/>
        </w:rPr>
      </w:pPr>
      <w:r>
        <w:rPr>
          <w:rFonts w:hint="eastAsia"/>
          <w:b w:val="0"/>
          <w:bCs w:val="0"/>
          <w:lang w:val="en-US" w:eastAsia="zh-CN"/>
        </w:rPr>
        <w:t xml:space="preserve">For the authorization of WAB, it can be studied in R19. However, the detailed signalling enhancement belongs to the normative phase, which can be left to WI phase. With regard to the potential enhancement of IAB resource multiplexing and QoS support, </w:t>
      </w:r>
      <w:r>
        <w:rPr>
          <w:rFonts w:hint="eastAsia"/>
          <w:lang w:val="en-US" w:eastAsia="zh-CN"/>
        </w:rPr>
        <w:t xml:space="preserve">we think the R16/17/18 legacy mechanism of IAB can be reused as baseline. The enhancement is only considered if necessary.   </w:t>
      </w:r>
    </w:p>
    <w:p>
      <w:pPr>
        <w:numPr>
          <w:ilvl w:val="0"/>
          <w:numId w:val="0"/>
        </w:numPr>
        <w:overflowPunct w:val="0"/>
        <w:autoSpaceDE w:val="0"/>
        <w:autoSpaceDN w:val="0"/>
        <w:adjustRightInd w:val="0"/>
        <w:spacing w:after="180" w:line="259" w:lineRule="auto"/>
        <w:jc w:val="both"/>
        <w:textAlignment w:val="baseline"/>
        <w:rPr>
          <w:rFonts w:hint="eastAsia"/>
          <w:b/>
          <w:bCs/>
          <w:lang w:val="en-US" w:eastAsia="zh-CN"/>
        </w:rPr>
      </w:pPr>
      <w:r>
        <w:rPr>
          <w:rFonts w:hint="eastAsia"/>
          <w:b/>
          <w:bCs/>
          <w:lang w:val="en-US" w:eastAsia="zh-CN"/>
        </w:rPr>
        <w:t xml:space="preserve">Observation 3: For the WAB, the authorization of WAB can be studied in R19 SI. The detailed signalling enhancement can be left to WI phase. </w:t>
      </w:r>
    </w:p>
    <w:p>
      <w:pPr>
        <w:numPr>
          <w:ilvl w:val="0"/>
          <w:numId w:val="0"/>
        </w:numPr>
        <w:overflowPunct w:val="0"/>
        <w:autoSpaceDE w:val="0"/>
        <w:autoSpaceDN w:val="0"/>
        <w:adjustRightInd w:val="0"/>
        <w:spacing w:after="180" w:line="259" w:lineRule="auto"/>
        <w:jc w:val="both"/>
        <w:textAlignment w:val="baseline"/>
        <w:rPr>
          <w:rFonts w:hint="eastAsia"/>
          <w:b/>
          <w:bCs/>
          <w:lang w:val="en-US" w:eastAsia="zh-CN"/>
        </w:rPr>
      </w:pPr>
      <w:r>
        <w:rPr>
          <w:rFonts w:hint="eastAsia"/>
          <w:b/>
          <w:bCs/>
          <w:lang w:val="en-US" w:eastAsia="zh-CN"/>
        </w:rPr>
        <w:t>Observation 4: For the WAB, R16/17/18 IAB legacy mechanism should be reused as baseline for the IAB resource multiplexing and QoS support.</w:t>
      </w:r>
    </w:p>
    <w:p>
      <w:pPr>
        <w:numPr>
          <w:ilvl w:val="0"/>
          <w:numId w:val="0"/>
        </w:numPr>
        <w:overflowPunct w:val="0"/>
        <w:autoSpaceDE w:val="0"/>
        <w:autoSpaceDN w:val="0"/>
        <w:adjustRightInd w:val="0"/>
        <w:spacing w:after="180" w:line="259" w:lineRule="auto"/>
        <w:jc w:val="both"/>
        <w:textAlignment w:val="baseline"/>
        <w:rPr>
          <w:rFonts w:hint="default"/>
          <w:lang w:val="en-US" w:eastAsia="zh-CN"/>
        </w:rPr>
      </w:pPr>
      <w:r>
        <w:rPr>
          <w:rFonts w:hint="eastAsia"/>
          <w:lang w:val="en-US" w:eastAsia="zh-CN"/>
        </w:rPr>
        <w:t>One controversial point is whether the NTN should also be supported for WAB. According to TR 22.839, the non-terrestrial platform may provide wireless access to the relay node on vehicle as shown below:</w:t>
      </w:r>
    </w:p>
    <w:p>
      <w:pPr>
        <w:numPr>
          <w:ilvl w:val="0"/>
          <w:numId w:val="0"/>
        </w:numPr>
        <w:overflowPunct w:val="0"/>
        <w:autoSpaceDE w:val="0"/>
        <w:autoSpaceDN w:val="0"/>
        <w:adjustRightInd w:val="0"/>
        <w:spacing w:after="180" w:line="259" w:lineRule="auto"/>
        <w:jc w:val="center"/>
        <w:textAlignment w:val="baseline"/>
      </w:pPr>
      <w:r>
        <w:drawing>
          <wp:inline distT="0" distB="0" distL="114300" distR="114300">
            <wp:extent cx="3529965" cy="1337310"/>
            <wp:effectExtent l="9525" t="9525" r="1143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3529965" cy="1337310"/>
                    </a:xfrm>
                    <a:prstGeom prst="rect">
                      <a:avLst/>
                    </a:prstGeom>
                    <a:noFill/>
                    <a:ln w="6350" cap="flat" cmpd="sng">
                      <a:solidFill>
                        <a:srgbClr val="000000"/>
                      </a:solidFill>
                      <a:prstDash val="solid"/>
                      <a:miter lim="800000"/>
                      <a:headEnd type="none" w="med" len="med"/>
                      <a:tailEnd type="none" w="med" len="med"/>
                    </a:ln>
                  </pic:spPr>
                </pic:pic>
              </a:graphicData>
            </a:graphic>
          </wp:inline>
        </w:drawing>
      </w:r>
    </w:p>
    <w:p>
      <w:pPr>
        <w:numPr>
          <w:ilvl w:val="0"/>
          <w:numId w:val="0"/>
        </w:numPr>
        <w:overflowPunct w:val="0"/>
        <w:autoSpaceDE w:val="0"/>
        <w:autoSpaceDN w:val="0"/>
        <w:adjustRightInd w:val="0"/>
        <w:spacing w:after="180" w:line="259" w:lineRule="auto"/>
        <w:jc w:val="center"/>
        <w:textAlignment w:val="baseline"/>
        <w:rPr>
          <w:rFonts w:hint="default" w:eastAsia="宋体"/>
          <w:lang w:val="en-US" w:eastAsia="zh-CN"/>
        </w:rPr>
      </w:pPr>
      <w:r>
        <w:rPr>
          <w:rFonts w:hint="eastAsia"/>
          <w:lang w:val="en-US" w:eastAsia="zh-CN"/>
        </w:rPr>
        <w:t xml:space="preserve">Figure 1 </w:t>
      </w:r>
      <w:r>
        <w:t>Vehicle Relays supported by a non-stationary satellite platform</w:t>
      </w:r>
      <w:r>
        <w:rPr>
          <w:rFonts w:hint="eastAsia"/>
          <w:lang w:val="en-US" w:eastAsia="zh-CN"/>
        </w:rPr>
        <w:t xml:space="preserve"> (TR 22.839)</w:t>
      </w:r>
    </w:p>
    <w:p>
      <w:pPr>
        <w:pStyle w:val="78"/>
        <w:ind w:left="0" w:firstLine="0"/>
        <w:jc w:val="both"/>
        <w:rPr>
          <w:rFonts w:hint="eastAsia"/>
          <w:lang w:val="en-US" w:eastAsia="zh-CN"/>
        </w:rPr>
      </w:pPr>
      <w:r>
        <w:rPr>
          <w:rFonts w:hint="eastAsia"/>
          <w:lang w:val="en-US" w:eastAsia="zh-CN"/>
        </w:rPr>
        <w:t>With the support of non-stationary satellite</w:t>
      </w:r>
      <w:r>
        <w:t>, vehicular relays that are out of coverage of terrestrial networks, e.g. in remote areas</w:t>
      </w:r>
      <w:r>
        <w:rPr>
          <w:rFonts w:hint="eastAsia"/>
          <w:lang w:val="en-US" w:eastAsia="zh-CN"/>
        </w:rPr>
        <w:t xml:space="preserve"> can be supported. And e</w:t>
      </w:r>
      <w:r>
        <w:t>ven where terrestrial coverage exists, the vehicular relay may use satellite coverage.</w:t>
      </w:r>
      <w:r>
        <w:rPr>
          <w:rFonts w:hint="eastAsia"/>
          <w:lang w:val="en-US" w:eastAsia="zh-CN"/>
        </w:rPr>
        <w:t xml:space="preserve"> As we can see, the potential impact of the NTN based backhaul link is that the </w:t>
      </w:r>
      <w:r>
        <w:t>latency for signalling across the network (between the relay nodes and the node providing access to the relay) will be much higher than in terrestrial networks</w:t>
      </w:r>
      <w:r>
        <w:rPr>
          <w:rFonts w:hint="eastAsia"/>
          <w:lang w:val="en-US" w:eastAsia="zh-CN"/>
        </w:rPr>
        <w:t>. T</w:t>
      </w:r>
      <w:r>
        <w:rPr>
          <w:rFonts w:hint="eastAsia" w:eastAsia="宋体"/>
          <w:lang w:val="en-US" w:eastAsia="zh-CN"/>
        </w:rPr>
        <w:t xml:space="preserve">he latency of the link between the MT part of the relay node and the its serving node is analogous to link between UE and RAN node which has already been investigated in NTN WI. </w:t>
      </w:r>
    </w:p>
    <w:p>
      <w:pPr>
        <w:keepNext w:val="0"/>
        <w:keepLines w:val="0"/>
        <w:pageBreakBefore w:val="0"/>
        <w:widowControl/>
        <w:kinsoku/>
        <w:wordWrap/>
        <w:overflowPunct w:val="0"/>
        <w:topLinePunct w:val="0"/>
        <w:autoSpaceDE w:val="0"/>
        <w:autoSpaceDN w:val="0"/>
        <w:bidi w:val="0"/>
        <w:adjustRightInd w:val="0"/>
        <w:snapToGrid/>
        <w:spacing w:before="137" w:beforeLines="50" w:line="260" w:lineRule="auto"/>
        <w:jc w:val="both"/>
        <w:textAlignment w:val="baseline"/>
        <w:rPr>
          <w:rFonts w:hint="eastAsia" w:ascii="Times New Roman" w:hAnsi="Times New Roman" w:cs="Times New Roman"/>
          <w:b/>
          <w:bCs/>
          <w:sz w:val="20"/>
          <w:szCs w:val="20"/>
          <w:lang w:val="en-US" w:eastAsia="zh-CN"/>
        </w:rPr>
      </w:pPr>
      <w:r>
        <w:rPr>
          <w:rFonts w:hint="eastAsia"/>
          <w:lang w:val="en-US" w:eastAsia="zh-CN"/>
        </w:rPr>
        <w:t xml:space="preserve">On the other hand, </w:t>
      </w:r>
      <w:r>
        <w:rPr>
          <w:rFonts w:hint="eastAsia" w:eastAsia="宋体"/>
          <w:lang w:val="en-US" w:eastAsia="zh-CN"/>
        </w:rPr>
        <w:t>it is not clear whether</w:t>
      </w:r>
      <w:r>
        <w:t xml:space="preserve"> the transparent </w:t>
      </w:r>
      <w:r>
        <w:rPr>
          <w:rFonts w:hint="eastAsia" w:eastAsia="宋体"/>
          <w:lang w:val="en-US" w:eastAsia="zh-CN"/>
        </w:rPr>
        <w:t>or</w:t>
      </w:r>
      <w:r>
        <w:t xml:space="preserve"> regenerative NG-RAN architectures </w:t>
      </w:r>
      <w:r>
        <w:rPr>
          <w:rFonts w:hint="eastAsia" w:eastAsia="宋体"/>
          <w:lang w:val="en-US" w:eastAsia="zh-CN"/>
        </w:rPr>
        <w:t>should be considered</w:t>
      </w:r>
      <w:r>
        <w:t>.</w:t>
      </w:r>
      <w:r>
        <w:rPr>
          <w:rFonts w:hint="eastAsia" w:eastAsia="宋体"/>
          <w:lang w:val="en-US" w:eastAsia="zh-CN"/>
        </w:rPr>
        <w:t xml:space="preserve"> In our view, the NTN support for WAB shall only consider the transparent mode since the use</w:t>
      </w:r>
      <w:r>
        <w:rPr>
          <w:rFonts w:hint="eastAsia"/>
          <w:lang w:val="en-US" w:eastAsia="zh-CN"/>
        </w:rPr>
        <w:t xml:space="preserve"> </w:t>
      </w:r>
      <w:r>
        <w:rPr>
          <w:rFonts w:hint="eastAsia" w:eastAsia="宋体"/>
          <w:lang w:val="en-US" w:eastAsia="zh-CN"/>
        </w:rPr>
        <w:t xml:space="preserve">case of NTN support for WAB in regenerative mode is not clear.  </w:t>
      </w:r>
    </w:p>
    <w:p>
      <w:pPr>
        <w:numPr>
          <w:ilvl w:val="-1"/>
          <w:numId w:val="0"/>
        </w:numPr>
        <w:overflowPunct/>
        <w:autoSpaceDE/>
        <w:autoSpaceDN/>
        <w:adjustRightInd/>
        <w:spacing w:before="137" w:beforeLines="50" w:after="120" w:line="260" w:lineRule="auto"/>
        <w:jc w:val="both"/>
        <w:textAlignment w:val="auto"/>
        <w:rPr>
          <w:rFonts w:hint="eastAsia" w:ascii="Times New Roman" w:hAnsi="Times New Roman" w:cs="Times New Roman"/>
          <w:b/>
          <w:bCs/>
          <w:sz w:val="20"/>
          <w:szCs w:val="20"/>
          <w:lang w:val="en-US" w:eastAsia="zh-CN"/>
        </w:rPr>
      </w:pPr>
      <w:r>
        <w:rPr>
          <w:rFonts w:hint="eastAsia" w:cs="Times New Roman"/>
          <w:b/>
          <w:bCs/>
          <w:sz w:val="20"/>
          <w:szCs w:val="20"/>
          <w:lang w:val="en-US" w:eastAsia="zh-CN"/>
        </w:rPr>
        <w:t>Observation 5</w:t>
      </w:r>
      <w:r>
        <w:rPr>
          <w:rFonts w:hint="eastAsia" w:ascii="Times New Roman" w:hAnsi="Times New Roman" w:cs="Times New Roman"/>
          <w:b/>
          <w:bCs/>
          <w:sz w:val="20"/>
          <w:szCs w:val="20"/>
          <w:lang w:val="en-US" w:eastAsia="zh-CN"/>
        </w:rPr>
        <w:t xml:space="preserve">: </w:t>
      </w:r>
      <w:r>
        <w:rPr>
          <w:rFonts w:hint="eastAsia" w:cs="Times New Roman"/>
          <w:b/>
          <w:bCs/>
          <w:sz w:val="20"/>
          <w:szCs w:val="20"/>
          <w:lang w:val="en-US" w:eastAsia="zh-CN"/>
        </w:rPr>
        <w:t xml:space="preserve">Transparent </w:t>
      </w:r>
      <w:r>
        <w:rPr>
          <w:rFonts w:hint="eastAsia" w:ascii="Times New Roman" w:hAnsi="Times New Roman" w:cs="Times New Roman"/>
          <w:b/>
          <w:bCs/>
          <w:sz w:val="20"/>
          <w:szCs w:val="20"/>
          <w:lang w:val="en-US" w:eastAsia="zh-CN"/>
        </w:rPr>
        <w:t xml:space="preserve">NTN access </w:t>
      </w:r>
      <w:r>
        <w:rPr>
          <w:rFonts w:hint="eastAsia" w:cs="Times New Roman"/>
          <w:b/>
          <w:bCs/>
          <w:sz w:val="20"/>
          <w:szCs w:val="20"/>
          <w:lang w:val="en-US" w:eastAsia="zh-CN"/>
        </w:rPr>
        <w:t xml:space="preserve">for WAB node </w:t>
      </w:r>
      <w:r>
        <w:rPr>
          <w:rFonts w:hint="eastAsia" w:ascii="Times New Roman" w:hAnsi="Times New Roman" w:cs="Times New Roman"/>
          <w:b/>
          <w:bCs/>
          <w:sz w:val="20"/>
          <w:szCs w:val="20"/>
          <w:lang w:val="en-US" w:eastAsia="zh-CN"/>
        </w:rPr>
        <w:t>can be considered in R19</w:t>
      </w:r>
      <w:r>
        <w:rPr>
          <w:rFonts w:hint="eastAsia" w:cs="Times New Roman"/>
          <w:b/>
          <w:bCs/>
          <w:sz w:val="20"/>
          <w:szCs w:val="20"/>
          <w:lang w:val="en-US" w:eastAsia="zh-CN"/>
        </w:rPr>
        <w:t xml:space="preserve"> without additional optimization</w:t>
      </w:r>
      <w:r>
        <w:rPr>
          <w:rFonts w:hint="eastAsia" w:ascii="Times New Roman" w:hAnsi="Times New Roman" w:cs="Times New Roman"/>
          <w:b/>
          <w:bCs/>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before="137" w:beforeLines="50" w:after="120" w:line="260" w:lineRule="auto"/>
        <w:jc w:val="both"/>
        <w:textAlignment w:val="auto"/>
        <w:rPr>
          <w:rFonts w:hint="default" w:ascii="Times New Roman" w:hAnsi="Times New Roman" w:cs="Times New Roman"/>
          <w:b w:val="0"/>
          <w:bCs w:val="0"/>
          <w:sz w:val="20"/>
          <w:szCs w:val="20"/>
          <w:lang w:val="en-US" w:eastAsia="zh-CN"/>
        </w:rPr>
      </w:pPr>
      <w:r>
        <w:rPr>
          <w:rFonts w:hint="eastAsia" w:cs="Times New Roman"/>
          <w:b w:val="0"/>
          <w:bCs w:val="0"/>
          <w:sz w:val="20"/>
          <w:szCs w:val="20"/>
          <w:lang w:val="en-US" w:eastAsia="zh-CN"/>
        </w:rPr>
        <w:t>Based on the above analysis, the following objective for WAB is proposed:</w:t>
      </w:r>
    </w:p>
    <w:p>
      <w:pPr>
        <w:overflowPunct/>
        <w:autoSpaceDE/>
        <w:autoSpaceDN/>
        <w:adjustRightInd/>
        <w:spacing w:after="120"/>
        <w:jc w:val="both"/>
        <w:textAlignment w:val="auto"/>
        <w:rPr>
          <w:rFonts w:hint="eastAsia" w:cs="Times New Roman"/>
          <w:b/>
          <w:bCs/>
          <w:sz w:val="20"/>
          <w:szCs w:val="20"/>
          <w:lang w:val="en-US" w:eastAsia="zh-CN"/>
        </w:rPr>
      </w:pPr>
      <w:r>
        <w:rPr>
          <w:rFonts w:hint="eastAsia" w:cs="Times New Roman"/>
          <w:b/>
          <w:bCs/>
          <w:sz w:val="20"/>
          <w:szCs w:val="20"/>
          <w:lang w:val="en-US" w:eastAsia="zh-CN"/>
        </w:rPr>
        <w:t xml:space="preserve">Proposal 1: It is suggested to consider the following objective for WAB: </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pPr>
              <w:pStyle w:val="66"/>
              <w:numPr>
                <w:ilvl w:val="0"/>
                <w:numId w:val="4"/>
              </w:numPr>
              <w:spacing w:before="120"/>
              <w:jc w:val="both"/>
              <w:rPr>
                <w:rFonts w:ascii="Times New Roman" w:hAnsi="Times New Roman" w:cs="Times New Roman"/>
                <w:b w:val="0"/>
                <w:bCs w:val="0"/>
                <w:sz w:val="20"/>
                <w:szCs w:val="20"/>
                <w:lang w:val="en-GB" w:eastAsia="zh-CN"/>
              </w:rPr>
            </w:pPr>
            <w:r>
              <w:rPr>
                <w:rFonts w:ascii="Times New Roman" w:hAnsi="Times New Roman" w:cs="Times New Roman"/>
                <w:b w:val="0"/>
                <w:bCs w:val="0"/>
                <w:sz w:val="20"/>
                <w:szCs w:val="20"/>
                <w:lang w:val="en-GB" w:eastAsia="zh-CN"/>
              </w:rPr>
              <w:t>Study the support of WAB including (RAN3-led, RAN2):</w:t>
            </w:r>
          </w:p>
          <w:p>
            <w:pPr>
              <w:pStyle w:val="66"/>
              <w:numPr>
                <w:ilvl w:val="1"/>
                <w:numId w:val="4"/>
              </w:numPr>
              <w:spacing w:before="120"/>
              <w:jc w:val="both"/>
              <w:rPr>
                <w:rFonts w:ascii="Times New Roman" w:hAnsi="Times New Roman" w:cs="Times New Roman"/>
                <w:b w:val="0"/>
                <w:bCs w:val="0"/>
                <w:sz w:val="20"/>
                <w:szCs w:val="20"/>
                <w:lang w:val="en-GB" w:eastAsia="zh-CN"/>
              </w:rPr>
            </w:pPr>
            <w:r>
              <w:rPr>
                <w:rFonts w:hint="default" w:ascii="Times New Roman" w:hAnsi="Times New Roman" w:cs="Times New Roman"/>
                <w:b w:val="0"/>
                <w:bCs w:val="0"/>
                <w:sz w:val="20"/>
                <w:szCs w:val="20"/>
                <w:lang w:val="en-US" w:eastAsia="zh-CN"/>
              </w:rPr>
              <w:t>Study the network architecture and protocol stack design considering the WAB node with full gNB and UE functionality</w:t>
            </w:r>
            <w:r>
              <w:rPr>
                <w:rFonts w:hint="eastAsia" w:ascii="Times New Roman" w:hAnsi="Times New Roman" w:cs="Times New Roman"/>
                <w:b w:val="0"/>
                <w:bCs w:val="0"/>
                <w:sz w:val="20"/>
                <w:szCs w:val="20"/>
                <w:lang w:val="en-US" w:eastAsia="zh-CN"/>
              </w:rPr>
              <w:t>.</w:t>
            </w:r>
          </w:p>
          <w:p>
            <w:pPr>
              <w:pStyle w:val="66"/>
              <w:numPr>
                <w:ilvl w:val="1"/>
                <w:numId w:val="4"/>
              </w:numPr>
              <w:spacing w:before="120"/>
              <w:jc w:val="both"/>
              <w:rPr>
                <w:rFonts w:ascii="Times New Roman" w:hAnsi="Times New Roman" w:cs="Times New Roman"/>
                <w:b w:val="0"/>
                <w:bCs w:val="0"/>
                <w:sz w:val="20"/>
                <w:szCs w:val="20"/>
                <w:lang w:val="en-GB" w:eastAsia="zh-CN"/>
              </w:rPr>
            </w:pPr>
            <w:r>
              <w:rPr>
                <w:rFonts w:ascii="Times New Roman" w:hAnsi="Times New Roman" w:cs="Times New Roman"/>
                <w:b w:val="0"/>
                <w:bCs w:val="0"/>
                <w:sz w:val="20"/>
                <w:szCs w:val="20"/>
                <w:lang w:val="en-GB" w:eastAsia="zh-CN"/>
              </w:rPr>
              <w:t xml:space="preserve">Study </w:t>
            </w:r>
            <w:r>
              <w:rPr>
                <w:rFonts w:hint="default" w:ascii="Times New Roman" w:hAnsi="Times New Roman" w:cs="Times New Roman"/>
                <w:b w:val="0"/>
                <w:bCs w:val="0"/>
                <w:sz w:val="20"/>
                <w:szCs w:val="20"/>
                <w:lang w:val="en-US" w:eastAsia="zh-CN"/>
              </w:rPr>
              <w:t xml:space="preserve">the </w:t>
            </w:r>
            <w:r>
              <w:rPr>
                <w:rFonts w:ascii="Times New Roman" w:hAnsi="Times New Roman" w:cs="Times New Roman"/>
                <w:b w:val="0"/>
                <w:bCs w:val="0"/>
                <w:sz w:val="20"/>
                <w:szCs w:val="20"/>
                <w:lang w:val="en-GB" w:eastAsia="zh-CN"/>
              </w:rPr>
              <w:t xml:space="preserve">impact of </w:t>
            </w:r>
            <w:r>
              <w:rPr>
                <w:rFonts w:hint="default" w:ascii="Times New Roman" w:hAnsi="Times New Roman" w:cs="Times New Roman"/>
                <w:b w:val="0"/>
                <w:bCs w:val="0"/>
                <w:sz w:val="20"/>
                <w:szCs w:val="20"/>
                <w:lang w:val="en-US" w:eastAsia="zh-CN"/>
              </w:rPr>
              <w:t>WAB node</w:t>
            </w:r>
            <w:r>
              <w:rPr>
                <w:rFonts w:ascii="Times New Roman" w:hAnsi="Times New Roman" w:cs="Times New Roman"/>
                <w:b w:val="0"/>
                <w:bCs w:val="0"/>
                <w:sz w:val="20"/>
                <w:szCs w:val="20"/>
                <w:lang w:val="en-GB" w:eastAsia="zh-CN"/>
              </w:rPr>
              <w:t xml:space="preserve"> mobility</w:t>
            </w:r>
            <w:r>
              <w:rPr>
                <w:rFonts w:hint="default" w:ascii="Times New Roman" w:hAnsi="Times New Roman" w:cs="Times New Roman"/>
                <w:b w:val="0"/>
                <w:bCs w:val="0"/>
                <w:sz w:val="20"/>
                <w:szCs w:val="20"/>
                <w:lang w:val="en-US" w:eastAsia="zh-CN"/>
              </w:rPr>
              <w:t xml:space="preserve">, including </w:t>
            </w:r>
            <w:r>
              <w:rPr>
                <w:rFonts w:ascii="Times New Roman" w:hAnsi="Times New Roman" w:cs="Times New Roman"/>
                <w:b w:val="0"/>
                <w:bCs w:val="0"/>
                <w:sz w:val="20"/>
                <w:szCs w:val="20"/>
                <w:lang w:val="en-GB" w:eastAsia="zh-CN"/>
              </w:rPr>
              <w:t>dynamic inter-gNB neighbor relations</w:t>
            </w:r>
            <w:r>
              <w:rPr>
                <w:rFonts w:hint="default" w:ascii="Times New Roman" w:hAnsi="Times New Roman" w:cs="Times New Roman"/>
                <w:b w:val="0"/>
                <w:bCs w:val="0"/>
                <w:sz w:val="20"/>
                <w:szCs w:val="20"/>
                <w:lang w:val="en-US" w:eastAsia="zh-CN"/>
              </w:rPr>
              <w:t xml:space="preserve"> and local service</w:t>
            </w:r>
            <w:r>
              <w:rPr>
                <w:rFonts w:hint="eastAsia" w:ascii="Times New Roman" w:hAnsi="Times New Roman" w:cs="Times New Roman"/>
                <w:b w:val="0"/>
                <w:bCs w:val="0"/>
                <w:sz w:val="20"/>
                <w:szCs w:val="20"/>
                <w:lang w:val="en-US" w:eastAsia="zh-CN"/>
              </w:rPr>
              <w:t>.</w:t>
            </w:r>
          </w:p>
          <w:p>
            <w:pPr>
              <w:pStyle w:val="66"/>
              <w:numPr>
                <w:ilvl w:val="1"/>
                <w:numId w:val="4"/>
              </w:numPr>
              <w:spacing w:before="120"/>
              <w:jc w:val="both"/>
              <w:rPr>
                <w:rFonts w:ascii="Times New Roman" w:hAnsi="Times New Roman" w:cs="Times New Roman"/>
                <w:b w:val="0"/>
                <w:bCs w:val="0"/>
                <w:sz w:val="20"/>
                <w:szCs w:val="20"/>
                <w:lang w:val="en-GB" w:eastAsia="zh-CN"/>
              </w:rPr>
            </w:pPr>
            <w:r>
              <w:rPr>
                <w:rFonts w:ascii="Times New Roman" w:hAnsi="Times New Roman" w:cs="Times New Roman"/>
                <w:b w:val="0"/>
                <w:bCs w:val="0"/>
                <w:sz w:val="20"/>
                <w:szCs w:val="20"/>
                <w:lang w:val="en-GB" w:eastAsia="zh-CN"/>
              </w:rPr>
              <w:t>Study the authorization of WAB nodes</w:t>
            </w:r>
            <w:r>
              <w:rPr>
                <w:rFonts w:hint="eastAsia" w:ascii="Times New Roman" w:hAnsi="Times New Roman" w:cs="Times New Roman"/>
                <w:b w:val="0"/>
                <w:bCs w:val="0"/>
                <w:sz w:val="20"/>
                <w:szCs w:val="20"/>
                <w:lang w:val="en-US" w:eastAsia="zh-CN"/>
              </w:rPr>
              <w:t>.</w:t>
            </w:r>
          </w:p>
          <w:p>
            <w:pPr>
              <w:pStyle w:val="66"/>
              <w:numPr>
                <w:ilvl w:val="1"/>
                <w:numId w:val="4"/>
              </w:numPr>
              <w:spacing w:before="120"/>
              <w:jc w:val="both"/>
              <w:rPr>
                <w:rFonts w:ascii="Times New Roman" w:hAnsi="Times New Roman" w:cs="Times New Roman"/>
                <w:b w:val="0"/>
                <w:bCs w:val="0"/>
                <w:sz w:val="20"/>
                <w:szCs w:val="20"/>
                <w:lang w:val="en-GB" w:eastAsia="zh-CN"/>
              </w:rPr>
            </w:pPr>
            <w:r>
              <w:rPr>
                <w:rFonts w:ascii="Times New Roman" w:hAnsi="Times New Roman" w:cs="Times New Roman"/>
                <w:b w:val="0"/>
                <w:bCs w:val="0"/>
                <w:sz w:val="20"/>
                <w:szCs w:val="20"/>
                <w:lang w:val="en-GB" w:eastAsia="zh-CN"/>
              </w:rPr>
              <w:t xml:space="preserve">Study </w:t>
            </w:r>
            <w:r>
              <w:rPr>
                <w:rFonts w:hint="eastAsia" w:ascii="Times New Roman" w:hAnsi="Times New Roman" w:cs="Times New Roman"/>
                <w:b w:val="0"/>
                <w:bCs w:val="0"/>
                <w:sz w:val="20"/>
                <w:szCs w:val="20"/>
                <w:lang w:val="en-US" w:eastAsia="zh-CN"/>
              </w:rPr>
              <w:t xml:space="preserve">the </w:t>
            </w:r>
            <w:r>
              <w:rPr>
                <w:rFonts w:ascii="Times New Roman" w:hAnsi="Times New Roman" w:cs="Times New Roman"/>
                <w:b w:val="0"/>
                <w:bCs w:val="0"/>
                <w:sz w:val="20"/>
                <w:szCs w:val="20"/>
                <w:lang w:val="en-GB" w:eastAsia="zh-CN"/>
              </w:rPr>
              <w:t>resource multiplexing framework</w:t>
            </w:r>
            <w:r>
              <w:rPr>
                <w:rFonts w:hint="eastAsia" w:ascii="Times New Roman" w:hAnsi="Times New Roman" w:cs="Times New Roman"/>
                <w:b w:val="0"/>
                <w:bCs w:val="0"/>
                <w:sz w:val="20"/>
                <w:szCs w:val="20"/>
                <w:lang w:val="en-US" w:eastAsia="zh-CN"/>
              </w:rPr>
              <w:t xml:space="preserve"> for WAB with legacy IAB mechanism as baseline</w:t>
            </w:r>
            <w:r>
              <w:rPr>
                <w:rFonts w:ascii="Times New Roman" w:hAnsi="Times New Roman" w:cs="Times New Roman"/>
                <w:b w:val="0"/>
                <w:bCs w:val="0"/>
                <w:sz w:val="20"/>
                <w:szCs w:val="20"/>
                <w:lang w:val="en-GB" w:eastAsia="zh-CN"/>
              </w:rPr>
              <w:t>.</w:t>
            </w:r>
          </w:p>
          <w:p>
            <w:pPr>
              <w:pStyle w:val="66"/>
              <w:numPr>
                <w:ilvl w:val="1"/>
                <w:numId w:val="4"/>
              </w:numPr>
              <w:spacing w:before="120"/>
              <w:jc w:val="both"/>
              <w:rPr>
                <w:rFonts w:ascii="Times New Roman" w:hAnsi="Times New Roman" w:cs="Times New Roman"/>
                <w:b w:val="0"/>
                <w:bCs w:val="0"/>
                <w:sz w:val="20"/>
                <w:szCs w:val="20"/>
                <w:lang w:val="en-GB" w:eastAsia="zh-CN"/>
              </w:rPr>
            </w:pPr>
            <w:r>
              <w:rPr>
                <w:rFonts w:ascii="Times New Roman" w:hAnsi="Times New Roman" w:cs="Times New Roman"/>
                <w:b w:val="0"/>
                <w:bCs w:val="0"/>
                <w:sz w:val="20"/>
                <w:szCs w:val="20"/>
                <w:lang w:val="en-GB" w:eastAsia="zh-CN"/>
              </w:rPr>
              <w:t xml:space="preserve">Study </w:t>
            </w:r>
            <w:r>
              <w:rPr>
                <w:rFonts w:hint="default" w:ascii="Times New Roman" w:hAnsi="Times New Roman" w:cs="Times New Roman"/>
                <w:b w:val="0"/>
                <w:bCs w:val="0"/>
                <w:sz w:val="20"/>
                <w:szCs w:val="20"/>
                <w:lang w:val="en-US" w:eastAsia="zh-CN"/>
              </w:rPr>
              <w:t>potential</w:t>
            </w:r>
            <w:r>
              <w:rPr>
                <w:rFonts w:ascii="Times New Roman" w:hAnsi="Times New Roman" w:cs="Times New Roman"/>
                <w:b w:val="0"/>
                <w:bCs w:val="0"/>
                <w:sz w:val="20"/>
                <w:szCs w:val="20"/>
                <w:lang w:val="en-GB" w:eastAsia="zh-CN"/>
              </w:rPr>
              <w:t xml:space="preserve"> QoS </w:t>
            </w:r>
            <w:r>
              <w:rPr>
                <w:rFonts w:hint="default" w:ascii="Times New Roman" w:hAnsi="Times New Roman" w:cs="Times New Roman"/>
                <w:b w:val="0"/>
                <w:bCs w:val="0"/>
                <w:sz w:val="20"/>
                <w:szCs w:val="20"/>
                <w:lang w:val="en-US" w:eastAsia="zh-CN"/>
              </w:rPr>
              <w:t>enhancement</w:t>
            </w:r>
            <w:r>
              <w:rPr>
                <w:rFonts w:ascii="Times New Roman" w:hAnsi="Times New Roman" w:cs="Times New Roman"/>
                <w:b w:val="0"/>
                <w:bCs w:val="0"/>
                <w:sz w:val="20"/>
                <w:szCs w:val="20"/>
                <w:lang w:val="en-GB" w:eastAsia="zh-CN"/>
              </w:rPr>
              <w:t xml:space="preserve"> on WAB backhaul</w:t>
            </w:r>
            <w:r>
              <w:rPr>
                <w:rFonts w:hint="default" w:ascii="Times New Roman" w:hAnsi="Times New Roman" w:cs="Times New Roman"/>
                <w:b w:val="0"/>
                <w:bCs w:val="0"/>
                <w:sz w:val="20"/>
                <w:szCs w:val="20"/>
                <w:lang w:val="en-US" w:eastAsia="zh-CN"/>
              </w:rPr>
              <w:t xml:space="preserve"> if</w:t>
            </w:r>
            <w:r>
              <w:rPr>
                <w:rFonts w:ascii="Times New Roman" w:hAnsi="Times New Roman" w:cs="Times New Roman"/>
                <w:b w:val="0"/>
                <w:bCs w:val="0"/>
                <w:sz w:val="20"/>
                <w:szCs w:val="20"/>
                <w:lang w:val="en-GB" w:eastAsia="zh-CN"/>
              </w:rPr>
              <w:t xml:space="preserve"> necessary.</w:t>
            </w:r>
          </w:p>
          <w:p>
            <w:pPr>
              <w:overflowPunct/>
              <w:autoSpaceDE/>
              <w:autoSpaceDN/>
              <w:adjustRightInd/>
              <w:spacing w:before="120" w:after="0"/>
              <w:ind w:firstLine="600" w:firstLineChars="300"/>
              <w:jc w:val="both"/>
              <w:textAlignment w:val="auto"/>
              <w:rPr>
                <w:rFonts w:hint="eastAsia" w:cs="Times New Roman"/>
                <w:b/>
                <w:bCs/>
                <w:sz w:val="20"/>
                <w:szCs w:val="20"/>
                <w:vertAlign w:val="baseline"/>
                <w:lang w:val="en-US" w:eastAsia="zh-CN"/>
              </w:rPr>
            </w:pPr>
            <w:r>
              <w:rPr>
                <w:rFonts w:ascii="Times New Roman" w:hAnsi="Times New Roman" w:cs="Times New Roman"/>
                <w:b w:val="0"/>
                <w:bCs w:val="0"/>
                <w:sz w:val="20"/>
                <w:szCs w:val="20"/>
                <w:lang w:val="en-GB" w:eastAsia="zh-CN"/>
              </w:rPr>
              <w:t xml:space="preserve">Note: </w:t>
            </w:r>
            <w:r>
              <w:rPr>
                <w:rFonts w:hint="default" w:ascii="Times New Roman" w:hAnsi="Times New Roman" w:cs="Times New Roman"/>
                <w:b w:val="0"/>
                <w:bCs w:val="0"/>
                <w:sz w:val="20"/>
                <w:szCs w:val="20"/>
                <w:lang w:val="en-US" w:eastAsia="zh-CN"/>
              </w:rPr>
              <w:t xml:space="preserve">Transparent NTN access </w:t>
            </w:r>
            <w:r>
              <w:rPr>
                <w:rFonts w:ascii="Times New Roman" w:hAnsi="Times New Roman" w:cs="Times New Roman"/>
                <w:b w:val="0"/>
                <w:bCs w:val="0"/>
                <w:sz w:val="20"/>
                <w:szCs w:val="20"/>
                <w:lang w:val="en-GB" w:eastAsia="zh-CN"/>
              </w:rPr>
              <w:t xml:space="preserve">for WAB backhaul can be </w:t>
            </w:r>
            <w:r>
              <w:rPr>
                <w:rFonts w:hint="default" w:ascii="Times New Roman" w:hAnsi="Times New Roman" w:cs="Times New Roman"/>
                <w:b w:val="0"/>
                <w:bCs w:val="0"/>
                <w:sz w:val="20"/>
                <w:szCs w:val="20"/>
                <w:lang w:val="en-US" w:eastAsia="zh-CN"/>
              </w:rPr>
              <w:t>considered without additional optimization</w:t>
            </w:r>
            <w:r>
              <w:rPr>
                <w:rFonts w:ascii="Times New Roman" w:hAnsi="Times New Roman" w:cs="Times New Roman"/>
                <w:b w:val="0"/>
                <w:bCs w:val="0"/>
                <w:sz w:val="20"/>
                <w:szCs w:val="20"/>
                <w:lang w:val="en-GB" w:eastAsia="zh-CN"/>
              </w:rPr>
              <w:t>.</w:t>
            </w:r>
          </w:p>
        </w:tc>
      </w:tr>
    </w:tbl>
    <w:p>
      <w:pPr>
        <w:numPr>
          <w:ilvl w:val="-1"/>
          <w:numId w:val="0"/>
        </w:numPr>
        <w:overflowPunct/>
        <w:autoSpaceDE/>
        <w:autoSpaceDN/>
        <w:adjustRightInd/>
        <w:spacing w:before="120" w:after="0" w:line="240" w:lineRule="auto"/>
        <w:jc w:val="both"/>
        <w:textAlignment w:val="auto"/>
        <w:rPr>
          <w:rFonts w:hint="default" w:ascii="Times New Roman" w:hAnsi="Times New Roman"/>
          <w:b/>
          <w:bCs/>
          <w:sz w:val="20"/>
          <w:szCs w:val="20"/>
          <w:lang w:val="en-US" w:eastAsia="zh-CN"/>
        </w:rPr>
      </w:pPr>
    </w:p>
    <w:p>
      <w:pPr>
        <w:numPr>
          <w:ilvl w:val="0"/>
          <w:numId w:val="6"/>
        </w:numPr>
        <w:overflowPunct w:val="0"/>
        <w:autoSpaceDE w:val="0"/>
        <w:autoSpaceDN w:val="0"/>
        <w:adjustRightInd w:val="0"/>
        <w:spacing w:after="180" w:line="259" w:lineRule="auto"/>
        <w:ind w:left="420" w:leftChars="0" w:hanging="420" w:firstLineChars="0"/>
        <w:textAlignment w:val="baseline"/>
        <w:rPr>
          <w:rFonts w:hint="default"/>
          <w:lang w:val="en-US" w:eastAsia="zh-CN"/>
        </w:rPr>
      </w:pPr>
      <w:r>
        <w:rPr>
          <w:rFonts w:hint="eastAsia"/>
          <w:lang w:val="en-US" w:eastAsia="zh-CN"/>
        </w:rPr>
        <w:t>IAB enhancement</w:t>
      </w:r>
    </w:p>
    <w:p>
      <w:pPr>
        <w:numPr>
          <w:ilvl w:val="0"/>
          <w:numId w:val="0"/>
        </w:numPr>
        <w:overflowPunct w:val="0"/>
        <w:autoSpaceDE w:val="0"/>
        <w:autoSpaceDN w:val="0"/>
        <w:adjustRightInd w:val="0"/>
        <w:spacing w:after="180" w:line="259" w:lineRule="auto"/>
        <w:textAlignment w:val="baseline"/>
        <w:rPr>
          <w:rFonts w:hint="eastAsia"/>
          <w:lang w:val="en-US" w:eastAsia="zh-CN"/>
        </w:rPr>
      </w:pPr>
      <w:r>
        <w:rPr>
          <w:rFonts w:hint="eastAsia"/>
          <w:lang w:val="en-US" w:eastAsia="zh-CN"/>
        </w:rPr>
        <w:t xml:space="preserve">For the potential IAB enhancement, the robustness of multi-hop routing within the IAB topology was mentioned as below. </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pPr>
              <w:pStyle w:val="66"/>
              <w:numPr>
                <w:ilvl w:val="0"/>
                <w:numId w:val="4"/>
              </w:numPr>
              <w:spacing w:before="120"/>
              <w:jc w:val="both"/>
              <w:rPr>
                <w:sz w:val="20"/>
                <w:szCs w:val="20"/>
                <w:lang w:val="en-GB" w:eastAsia="zh-CN"/>
              </w:rPr>
            </w:pPr>
            <w:r>
              <w:rPr>
                <w:sz w:val="20"/>
                <w:szCs w:val="20"/>
                <w:lang w:val="en-GB" w:eastAsia="zh-CN"/>
              </w:rPr>
              <w:t>Study enhancements for the support of single-donor IAB topology, including (RAN2-led, RAN3):</w:t>
            </w:r>
          </w:p>
          <w:p>
            <w:pPr>
              <w:pStyle w:val="66"/>
              <w:numPr>
                <w:ilvl w:val="1"/>
                <w:numId w:val="4"/>
              </w:numPr>
              <w:spacing w:before="120"/>
              <w:jc w:val="both"/>
              <w:rPr>
                <w:rFonts w:hint="eastAsia"/>
                <w:vertAlign w:val="baseline"/>
                <w:lang w:val="en-US" w:eastAsia="zh-CN"/>
              </w:rPr>
            </w:pPr>
            <w:r>
              <w:rPr>
                <w:sz w:val="20"/>
                <w:szCs w:val="20"/>
                <w:lang w:val="en-GB" w:eastAsia="zh-CN"/>
              </w:rPr>
              <w:t>Study enhancements to the robustness of multi-hop routing within the IAB topology in presence of local IAB-node mobility.</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37" w:beforeLines="50" w:after="180" w:line="260" w:lineRule="auto"/>
        <w:jc w:val="both"/>
        <w:textAlignment w:val="baseline"/>
        <w:rPr>
          <w:rFonts w:hint="eastAsia"/>
          <w:lang w:val="en-US" w:eastAsia="zh-CN"/>
        </w:rPr>
      </w:pPr>
      <w:r>
        <w:rPr>
          <w:rFonts w:hint="eastAsia"/>
          <w:lang w:val="en-US" w:eastAsia="zh-CN"/>
        </w:rPr>
        <w:t>Actually, this objective targets for public safety and disaster recovery scenario and it aims to support the multi-hop IAB node connecting to one IAB donor. As far as we know, the two multi-hop routing issues and potential solutions mentioned in RP-232125, such as</w:t>
      </w:r>
      <w:r>
        <w:rPr>
          <w:rFonts w:hint="eastAsia"/>
          <w:b w:val="0"/>
          <w:bCs w:val="0"/>
          <w:i w:val="0"/>
          <w:iCs w:val="0"/>
          <w:lang w:val="en-US" w:eastAsia="zh-CN"/>
        </w:rPr>
        <w:t xml:space="preserve"> </w:t>
      </w:r>
      <w:r>
        <w:rPr>
          <w:b w:val="0"/>
          <w:bCs w:val="0"/>
          <w:i w:val="0"/>
          <w:iCs w:val="0"/>
          <w:lang w:eastAsia="zh-CN"/>
        </w:rPr>
        <w:t xml:space="preserve">dynamic switch </w:t>
      </w:r>
      <w:r>
        <w:rPr>
          <w:rFonts w:hint="eastAsia"/>
          <w:b w:val="0"/>
          <w:bCs w:val="0"/>
          <w:i w:val="0"/>
          <w:iCs w:val="0"/>
          <w:lang w:val="en-US" w:eastAsia="zh-CN"/>
        </w:rPr>
        <w:t xml:space="preserve">of </w:t>
      </w:r>
      <w:r>
        <w:rPr>
          <w:b w:val="0"/>
          <w:bCs w:val="0"/>
          <w:i w:val="0"/>
          <w:iCs w:val="0"/>
          <w:lang w:eastAsia="zh-CN"/>
        </w:rPr>
        <w:t xml:space="preserve">parent/child </w:t>
      </w:r>
      <w:r>
        <w:rPr>
          <w:rFonts w:hint="eastAsia"/>
          <w:b w:val="0"/>
          <w:bCs w:val="0"/>
          <w:i w:val="0"/>
          <w:iCs w:val="0"/>
          <w:lang w:val="en-US" w:eastAsia="zh-CN"/>
        </w:rPr>
        <w:t xml:space="preserve">node and QoS based re-routing, </w:t>
      </w:r>
      <w:r>
        <w:rPr>
          <w:rFonts w:hint="eastAsia"/>
          <w:lang w:val="en-US" w:eastAsia="zh-CN"/>
        </w:rPr>
        <w:t xml:space="preserve">have been raised and discussed in R16/17. According to the discussion in R16/17, the dynamic switch of parent/child node for re-routing may introduce packet delivery loop and make the re-routing more complicated. Therefore, no consensus was reached to support this at that time. Considering that no R16/17/18 IAB deployment was heard so far,we see no strong motivation to support the further optimization of the IAB's multi-hop re-routing mechanism in R19.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37" w:beforeLines="50" w:after="180" w:line="260" w:lineRule="auto"/>
        <w:jc w:val="both"/>
        <w:textAlignment w:val="baseline"/>
        <w:rPr>
          <w:rFonts w:hint="default"/>
          <w:b/>
          <w:bCs/>
          <w:lang w:val="en-US" w:eastAsia="zh-CN"/>
        </w:rPr>
      </w:pPr>
      <w:r>
        <w:rPr>
          <w:rFonts w:hint="eastAsia"/>
          <w:b/>
          <w:bCs/>
          <w:lang w:val="en-US" w:eastAsia="zh-CN"/>
        </w:rPr>
        <w:t xml:space="preserve">Proposal 2: The enhancement of multi-hop routing within the IAB topology is not considered in R19. </w:t>
      </w:r>
    </w:p>
    <w:p>
      <w:pPr>
        <w:pStyle w:val="3"/>
        <w:bidi w:val="0"/>
        <w:rPr>
          <w:rFonts w:hint="default"/>
          <w:lang w:val="en-US" w:eastAsia="zh-CN"/>
        </w:rPr>
      </w:pPr>
      <w:r>
        <w:rPr>
          <w:rFonts w:hint="eastAsia"/>
          <w:lang w:val="en-US" w:eastAsia="zh-CN"/>
        </w:rPr>
        <w:t>2.2 5G Femto</w:t>
      </w:r>
    </w:p>
    <w:p>
      <w:pPr>
        <w:jc w:val="both"/>
        <w:rPr>
          <w:rFonts w:hint="default"/>
          <w:lang w:val="en-US" w:eastAsia="zh-CN"/>
        </w:rPr>
      </w:pPr>
      <w:r>
        <w:rPr>
          <w:rFonts w:hint="eastAsia"/>
          <w:lang w:val="en-US" w:eastAsia="zh-CN"/>
        </w:rPr>
        <w:t xml:space="preserve">The study of 5G Femto is beneficial for providing NR access for UEs indoor, which requires high bandwidth and throughput. Based on discussion during RAN#101 meeting, the potential working scope of 5G Femto is listed as below.  </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pPr>
              <w:pStyle w:val="66"/>
              <w:numPr>
                <w:ilvl w:val="0"/>
                <w:numId w:val="5"/>
              </w:numPr>
              <w:spacing w:before="120"/>
              <w:jc w:val="both"/>
              <w:rPr>
                <w:rFonts w:hint="default" w:hAnsi="Times New Roman" w:cs="Times New Roman" w:asciiTheme="minorAscii"/>
                <w:sz w:val="20"/>
                <w:szCs w:val="20"/>
                <w:lang w:val="en-GB" w:eastAsia="zh-CN"/>
              </w:rPr>
            </w:pPr>
            <w:r>
              <w:rPr>
                <w:rFonts w:hint="default" w:hAnsi="Times New Roman" w:cs="Times New Roman" w:asciiTheme="minorAscii"/>
                <w:sz w:val="20"/>
                <w:szCs w:val="20"/>
                <w:lang w:val="en-GB" w:eastAsia="zh-CN"/>
              </w:rPr>
              <w:t xml:space="preserve">Study the overall RAN architecture and required functional and procedural impacts for supporting 5G Femto deployments. </w:t>
            </w:r>
          </w:p>
          <w:p>
            <w:pPr>
              <w:pStyle w:val="66"/>
              <w:numPr>
                <w:ilvl w:val="0"/>
                <w:numId w:val="5"/>
              </w:numPr>
              <w:spacing w:before="120"/>
              <w:jc w:val="both"/>
              <w:rPr>
                <w:rFonts w:hint="default" w:hAnsi="Times New Roman" w:cs="Times New Roman" w:asciiTheme="minorAscii"/>
                <w:sz w:val="20"/>
                <w:szCs w:val="20"/>
                <w:lang w:val="en-GB" w:eastAsia="zh-CN"/>
              </w:rPr>
            </w:pPr>
            <w:r>
              <w:rPr>
                <w:rFonts w:hint="default" w:hAnsi="Times New Roman" w:cs="Times New Roman" w:asciiTheme="minorAscii"/>
                <w:sz w:val="20"/>
                <w:szCs w:val="20"/>
                <w:lang w:val="en-GB" w:eastAsia="zh-CN"/>
              </w:rPr>
              <w:t>Study how to define the 5G access control mechanism by (re-)using the existing CAG functionality and identify needed enhancements (if any).</w:t>
            </w:r>
          </w:p>
          <w:p>
            <w:pPr>
              <w:pStyle w:val="66"/>
              <w:numPr>
                <w:ilvl w:val="0"/>
                <w:numId w:val="5"/>
              </w:numPr>
              <w:spacing w:before="120"/>
              <w:jc w:val="both"/>
              <w:rPr>
                <w:rFonts w:hint="default" w:hAnsi="Times New Roman" w:cs="Times New Roman" w:asciiTheme="minorAscii"/>
                <w:sz w:val="20"/>
                <w:szCs w:val="20"/>
                <w:lang w:val="en-GB" w:eastAsia="zh-CN"/>
              </w:rPr>
            </w:pPr>
            <w:r>
              <w:rPr>
                <w:rFonts w:hint="default" w:hAnsi="Times New Roman" w:cs="Times New Roman" w:asciiTheme="minorAscii"/>
                <w:sz w:val="20"/>
                <w:szCs w:val="20"/>
                <w:lang w:val="en-GB" w:eastAsia="zh-CN"/>
              </w:rPr>
              <w:t>Study how to enable access to local services from the 5G Femto via collocated local UPF.</w:t>
            </w:r>
          </w:p>
          <w:p>
            <w:pPr>
              <w:spacing w:before="120"/>
              <w:jc w:val="both"/>
              <w:rPr>
                <w:rFonts w:hint="default" w:ascii="Times New Roman" w:hAnsi="Times New Roman" w:cs="Times New Roman"/>
                <w:sz w:val="21"/>
                <w:szCs w:val="21"/>
                <w:vertAlign w:val="baseline"/>
                <w:lang w:val="en-US" w:eastAsia="zh-CN"/>
              </w:rPr>
            </w:pPr>
            <w:r>
              <w:rPr>
                <w:rFonts w:hint="default" w:hAnsi="Times New Roman" w:cs="Times New Roman" w:asciiTheme="minorAscii"/>
                <w:sz w:val="20"/>
                <w:szCs w:val="20"/>
                <w:lang w:val="en-GB" w:eastAsia="zh-CN"/>
              </w:rPr>
              <w:t>Note: The study involves a gap analysis of existing 5G functionality with HomeNB functionality.</w:t>
            </w:r>
          </w:p>
        </w:tc>
      </w:tr>
    </w:tbl>
    <w:p>
      <w:pPr>
        <w:keepNext w:val="0"/>
        <w:keepLines w:val="0"/>
        <w:pageBreakBefore w:val="0"/>
        <w:widowControl/>
        <w:kinsoku/>
        <w:wordWrap/>
        <w:overflowPunct/>
        <w:topLinePunct w:val="0"/>
        <w:autoSpaceDE/>
        <w:autoSpaceDN/>
        <w:bidi w:val="0"/>
        <w:adjustRightInd/>
        <w:snapToGrid/>
        <w:spacing w:before="137" w:beforeLines="50" w:line="240" w:lineRule="auto"/>
        <w:jc w:val="both"/>
        <w:textAlignment w:val="auto"/>
        <w:rPr>
          <w:rFonts w:hint="default"/>
          <w:lang w:val="en-US" w:eastAsia="zh-CN"/>
        </w:rPr>
      </w:pPr>
      <w:r>
        <w:rPr>
          <w:rFonts w:hint="eastAsia"/>
          <w:lang w:val="en-US" w:eastAsia="zh-CN"/>
        </w:rPr>
        <w:t>We think the overall RAN architecture and access control mechanism needs to be studied for 5G femto as captured in the first and second bullet. However, there is no strong motivation to study the local service for 5G femto in the third bullet. As we know, the local service provides data service locally which means t</w:t>
      </w:r>
      <w:r>
        <w:rPr>
          <w:rFonts w:hint="default"/>
          <w:lang w:val="en-US" w:eastAsia="zh-CN"/>
        </w:rPr>
        <w:t>he data packet does not need to pass through the core network</w:t>
      </w:r>
      <w:r>
        <w:rPr>
          <w:rFonts w:hint="eastAsia"/>
          <w:lang w:val="en-US" w:eastAsia="zh-CN"/>
        </w:rPr>
        <w:t xml:space="preserve"> so that the </w:t>
      </w:r>
      <w:r>
        <w:rPr>
          <w:rFonts w:hint="default"/>
          <w:lang w:val="en-US" w:eastAsia="zh-CN"/>
        </w:rPr>
        <w:t>backhaul link resources</w:t>
      </w:r>
      <w:r>
        <w:rPr>
          <w:rFonts w:hint="eastAsia"/>
          <w:lang w:val="en-US" w:eastAsia="zh-CN"/>
        </w:rPr>
        <w:t xml:space="preserve"> could be saved. However, the femto base station has wireline connection to the core network, which is different from the WAB node. In our understanding, the resource utilization in wireline is not a problem. So the local service can be removed in current stage and can be studied later, e.g. reuse the mechanism specified in WAB. On the other hand, the study of local service needs to be led by SA2 since it is mainly in SA2 scope. However, according to the n</w:t>
      </w:r>
      <w:r>
        <w:rPr>
          <w:lang w:eastAsia="zh-CN"/>
        </w:rPr>
        <w:t>ew SID on 5G NR Femto</w:t>
      </w:r>
      <w:r>
        <w:rPr>
          <w:rFonts w:hint="eastAsia"/>
          <w:lang w:val="en-US" w:eastAsia="zh-CN"/>
        </w:rPr>
        <w:t xml:space="preserve"> in SA2 [2], local service is not listed in the objectives of SA2 R19 Femto SID. As analyzed above, we suggest to remove the third bullet (i.e. study of local service) for the study of 5G femto. </w:t>
      </w:r>
    </w:p>
    <w:p>
      <w:pPr>
        <w:spacing w:before="120" w:line="259" w:lineRule="auto"/>
        <w:jc w:val="both"/>
        <w:rPr>
          <w:rFonts w:hint="eastAsia" w:eastAsia="宋体"/>
          <w:lang w:eastAsia="zh-CN"/>
        </w:rPr>
      </w:pPr>
      <w:r>
        <w:rPr>
          <w:rFonts w:hint="eastAsia"/>
          <w:b/>
          <w:bCs/>
          <w:lang w:val="en-US" w:eastAsia="zh-CN"/>
        </w:rPr>
        <w:t xml:space="preserve">Proposal 3: For 5G Femto, it is suggested to remove the study of local service from the objectives and only study the </w:t>
      </w:r>
      <w:r>
        <w:rPr>
          <w:rFonts w:hint="default" w:ascii="Times New Roman" w:hAnsi="Times New Roman" w:cs="Times New Roman"/>
          <w:b/>
          <w:bCs/>
          <w:szCs w:val="21"/>
          <w:lang w:val="en-GB" w:eastAsia="zh-CN"/>
        </w:rPr>
        <w:t>overall RAN architecture</w:t>
      </w:r>
      <w:r>
        <w:rPr>
          <w:rFonts w:hint="eastAsia" w:cs="Times New Roman"/>
          <w:b/>
          <w:bCs/>
          <w:szCs w:val="21"/>
          <w:lang w:val="en-US" w:eastAsia="zh-CN"/>
        </w:rPr>
        <w:t xml:space="preserve"> and </w:t>
      </w:r>
      <w:r>
        <w:rPr>
          <w:rFonts w:hint="default" w:ascii="Times New Roman" w:hAnsi="Times New Roman" w:cs="Times New Roman"/>
          <w:b/>
          <w:bCs/>
          <w:szCs w:val="21"/>
          <w:lang w:val="en-GB" w:eastAsia="zh-CN"/>
        </w:rPr>
        <w:t>access control</w:t>
      </w:r>
      <w:r>
        <w:rPr>
          <w:rFonts w:hint="eastAsia" w:cs="Times New Roman"/>
          <w:b/>
          <w:bCs/>
          <w:szCs w:val="21"/>
          <w:lang w:val="en-US" w:eastAsia="zh-CN"/>
        </w:rPr>
        <w:t>.</w:t>
      </w:r>
      <w:r>
        <w:rPr>
          <w:rFonts w:hint="eastAsia" w:ascii="Times New Roman" w:hAnsi="Times New Roman" w:eastAsia="宋体" w:cs="Times New Roman"/>
          <w:b/>
          <w:bCs/>
          <w:lang w:val="en-US" w:eastAsia="zh-CN"/>
        </w:rPr>
        <w:t xml:space="preserve"> </w:t>
      </w:r>
      <w:bookmarkStart w:id="0" w:name="_GoBack"/>
      <w:bookmarkEnd w:id="0"/>
    </w:p>
    <w:p>
      <w:pPr>
        <w:pStyle w:val="2"/>
        <w:numPr>
          <w:ilvl w:val="0"/>
          <w:numId w:val="3"/>
        </w:numPr>
        <w:ind w:left="360"/>
        <w:rPr>
          <w:rFonts w:cs="Arial"/>
          <w:sz w:val="32"/>
          <w:szCs w:val="32"/>
        </w:rPr>
      </w:pPr>
      <w:r>
        <w:rPr>
          <w:rFonts w:cs="Arial"/>
          <w:sz w:val="32"/>
          <w:szCs w:val="32"/>
        </w:rPr>
        <w:t>Conclusions</w:t>
      </w:r>
      <w:r>
        <w:rPr>
          <w:rFonts w:cs="Arial"/>
          <w:b/>
          <w:sz w:val="32"/>
          <w:szCs w:val="32"/>
        </w:rPr>
        <w:t xml:space="preserve"> </w:t>
      </w:r>
    </w:p>
    <w:p>
      <w:pPr>
        <w:spacing w:before="120" w:after="120"/>
        <w:jc w:val="both"/>
        <w:rPr>
          <w:rFonts w:hint="eastAsia"/>
          <w:lang w:val="en-US" w:eastAsia="zh-CN"/>
        </w:rPr>
      </w:pPr>
      <w:r>
        <w:rPr>
          <w:rFonts w:hint="eastAsia"/>
          <w:lang w:val="en-GB" w:eastAsia="zh-CN"/>
        </w:rPr>
        <w:t>I</w:t>
      </w:r>
      <w:r>
        <w:rPr>
          <w:lang w:val="en-GB" w:eastAsia="zh-CN"/>
        </w:rPr>
        <w:t xml:space="preserve">n this contribution, we </w:t>
      </w:r>
      <w:r>
        <w:t>discuss</w:t>
      </w:r>
      <w:r>
        <w:rPr>
          <w:rFonts w:hint="eastAsia"/>
          <w:lang w:val="en-US" w:eastAsia="zh-CN"/>
        </w:rPr>
        <w:t>ed</w:t>
      </w:r>
      <w:r>
        <w:t xml:space="preserve"> </w:t>
      </w:r>
      <w:r>
        <w:rPr>
          <w:rFonts w:hint="eastAsia"/>
          <w:lang w:val="en-US" w:eastAsia="zh-CN"/>
        </w:rPr>
        <w:t>the potential working scope of R19 topological enhancement considering the progress so far and the time line for this WI. And we have the following observations and proposals:</w:t>
      </w:r>
    </w:p>
    <w:p>
      <w:pPr>
        <w:overflowPunct/>
        <w:autoSpaceDE/>
        <w:autoSpaceDN/>
        <w:adjustRightInd/>
        <w:spacing w:after="120"/>
        <w:jc w:val="both"/>
        <w:textAlignment w:val="auto"/>
        <w:rPr>
          <w:rFonts w:hint="eastAsia" w:cs="Times New Roman"/>
          <w:b/>
          <w:bCs/>
          <w:sz w:val="20"/>
          <w:szCs w:val="20"/>
          <w:lang w:val="en-US" w:eastAsia="zh-CN"/>
        </w:rPr>
      </w:pPr>
      <w:r>
        <w:rPr>
          <w:rFonts w:hint="eastAsia" w:cs="Times New Roman"/>
          <w:b/>
          <w:bCs/>
          <w:sz w:val="20"/>
          <w:szCs w:val="20"/>
          <w:lang w:val="en-US" w:eastAsia="zh-CN"/>
        </w:rPr>
        <w:t xml:space="preserve">Proposal 1: It is suggested to consider the following objective for WAB: </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8" w:type="dxa"/>
          </w:tcPr>
          <w:p>
            <w:pPr>
              <w:pStyle w:val="66"/>
              <w:numPr>
                <w:ilvl w:val="0"/>
                <w:numId w:val="4"/>
              </w:numPr>
              <w:spacing w:before="120"/>
              <w:jc w:val="both"/>
              <w:rPr>
                <w:rFonts w:ascii="Times New Roman" w:hAnsi="Times New Roman" w:cs="Times New Roman"/>
                <w:b w:val="0"/>
                <w:bCs w:val="0"/>
                <w:sz w:val="20"/>
                <w:szCs w:val="20"/>
                <w:lang w:val="en-GB" w:eastAsia="zh-CN"/>
              </w:rPr>
            </w:pPr>
            <w:r>
              <w:rPr>
                <w:rFonts w:ascii="Times New Roman" w:hAnsi="Times New Roman" w:cs="Times New Roman"/>
                <w:b w:val="0"/>
                <w:bCs w:val="0"/>
                <w:sz w:val="20"/>
                <w:szCs w:val="20"/>
                <w:lang w:val="en-GB" w:eastAsia="zh-CN"/>
              </w:rPr>
              <w:t>Study the support of WAB including (RAN3-led, RAN2):</w:t>
            </w:r>
          </w:p>
          <w:p>
            <w:pPr>
              <w:pStyle w:val="66"/>
              <w:numPr>
                <w:ilvl w:val="1"/>
                <w:numId w:val="4"/>
              </w:numPr>
              <w:spacing w:before="120"/>
              <w:jc w:val="both"/>
              <w:rPr>
                <w:rFonts w:ascii="Times New Roman" w:hAnsi="Times New Roman" w:cs="Times New Roman"/>
                <w:b w:val="0"/>
                <w:bCs w:val="0"/>
                <w:sz w:val="20"/>
                <w:szCs w:val="20"/>
                <w:lang w:val="en-GB" w:eastAsia="zh-CN"/>
              </w:rPr>
            </w:pPr>
            <w:r>
              <w:rPr>
                <w:rFonts w:hint="default" w:ascii="Times New Roman" w:hAnsi="Times New Roman" w:cs="Times New Roman"/>
                <w:b w:val="0"/>
                <w:bCs w:val="0"/>
                <w:sz w:val="20"/>
                <w:szCs w:val="20"/>
                <w:lang w:val="en-US" w:eastAsia="zh-CN"/>
              </w:rPr>
              <w:t>Study the network architecture and protocol stack design considering the WAB node with full gNB and UE functionality</w:t>
            </w:r>
            <w:r>
              <w:rPr>
                <w:rFonts w:hint="eastAsia" w:ascii="Times New Roman" w:hAnsi="Times New Roman" w:cs="Times New Roman"/>
                <w:b w:val="0"/>
                <w:bCs w:val="0"/>
                <w:sz w:val="20"/>
                <w:szCs w:val="20"/>
                <w:lang w:val="en-US" w:eastAsia="zh-CN"/>
              </w:rPr>
              <w:t>.</w:t>
            </w:r>
          </w:p>
          <w:p>
            <w:pPr>
              <w:pStyle w:val="66"/>
              <w:numPr>
                <w:ilvl w:val="1"/>
                <w:numId w:val="4"/>
              </w:numPr>
              <w:spacing w:before="120"/>
              <w:jc w:val="both"/>
              <w:rPr>
                <w:rFonts w:ascii="Times New Roman" w:hAnsi="Times New Roman" w:cs="Times New Roman"/>
                <w:b w:val="0"/>
                <w:bCs w:val="0"/>
                <w:sz w:val="20"/>
                <w:szCs w:val="20"/>
                <w:lang w:val="en-GB" w:eastAsia="zh-CN"/>
              </w:rPr>
            </w:pPr>
            <w:r>
              <w:rPr>
                <w:rFonts w:ascii="Times New Roman" w:hAnsi="Times New Roman" w:cs="Times New Roman"/>
                <w:b w:val="0"/>
                <w:bCs w:val="0"/>
                <w:sz w:val="20"/>
                <w:szCs w:val="20"/>
                <w:lang w:val="en-GB" w:eastAsia="zh-CN"/>
              </w:rPr>
              <w:t xml:space="preserve">Study </w:t>
            </w:r>
            <w:r>
              <w:rPr>
                <w:rFonts w:hint="default" w:ascii="Times New Roman" w:hAnsi="Times New Roman" w:cs="Times New Roman"/>
                <w:b w:val="0"/>
                <w:bCs w:val="0"/>
                <w:sz w:val="20"/>
                <w:szCs w:val="20"/>
                <w:lang w:val="en-US" w:eastAsia="zh-CN"/>
              </w:rPr>
              <w:t xml:space="preserve">the </w:t>
            </w:r>
            <w:r>
              <w:rPr>
                <w:rFonts w:ascii="Times New Roman" w:hAnsi="Times New Roman" w:cs="Times New Roman"/>
                <w:b w:val="0"/>
                <w:bCs w:val="0"/>
                <w:sz w:val="20"/>
                <w:szCs w:val="20"/>
                <w:lang w:val="en-GB" w:eastAsia="zh-CN"/>
              </w:rPr>
              <w:t xml:space="preserve">impact of </w:t>
            </w:r>
            <w:r>
              <w:rPr>
                <w:rFonts w:hint="default" w:ascii="Times New Roman" w:hAnsi="Times New Roman" w:cs="Times New Roman"/>
                <w:b w:val="0"/>
                <w:bCs w:val="0"/>
                <w:sz w:val="20"/>
                <w:szCs w:val="20"/>
                <w:lang w:val="en-US" w:eastAsia="zh-CN"/>
              </w:rPr>
              <w:t>WAB node</w:t>
            </w:r>
            <w:r>
              <w:rPr>
                <w:rFonts w:ascii="Times New Roman" w:hAnsi="Times New Roman" w:cs="Times New Roman"/>
                <w:b w:val="0"/>
                <w:bCs w:val="0"/>
                <w:sz w:val="20"/>
                <w:szCs w:val="20"/>
                <w:lang w:val="en-GB" w:eastAsia="zh-CN"/>
              </w:rPr>
              <w:t xml:space="preserve"> mobility</w:t>
            </w:r>
            <w:r>
              <w:rPr>
                <w:rFonts w:hint="default" w:ascii="Times New Roman" w:hAnsi="Times New Roman" w:cs="Times New Roman"/>
                <w:b w:val="0"/>
                <w:bCs w:val="0"/>
                <w:sz w:val="20"/>
                <w:szCs w:val="20"/>
                <w:lang w:val="en-US" w:eastAsia="zh-CN"/>
              </w:rPr>
              <w:t xml:space="preserve">, including </w:t>
            </w:r>
            <w:r>
              <w:rPr>
                <w:rFonts w:ascii="Times New Roman" w:hAnsi="Times New Roman" w:cs="Times New Roman"/>
                <w:b w:val="0"/>
                <w:bCs w:val="0"/>
                <w:sz w:val="20"/>
                <w:szCs w:val="20"/>
                <w:lang w:val="en-GB" w:eastAsia="zh-CN"/>
              </w:rPr>
              <w:t>dynamic inter-gNB neighbor relations</w:t>
            </w:r>
            <w:r>
              <w:rPr>
                <w:rFonts w:hint="default" w:ascii="Times New Roman" w:hAnsi="Times New Roman" w:cs="Times New Roman"/>
                <w:b w:val="0"/>
                <w:bCs w:val="0"/>
                <w:sz w:val="20"/>
                <w:szCs w:val="20"/>
                <w:lang w:val="en-US" w:eastAsia="zh-CN"/>
              </w:rPr>
              <w:t xml:space="preserve"> and local service</w:t>
            </w:r>
            <w:r>
              <w:rPr>
                <w:rFonts w:hint="eastAsia" w:ascii="Times New Roman" w:hAnsi="Times New Roman" w:cs="Times New Roman"/>
                <w:b w:val="0"/>
                <w:bCs w:val="0"/>
                <w:sz w:val="20"/>
                <w:szCs w:val="20"/>
                <w:lang w:val="en-US" w:eastAsia="zh-CN"/>
              </w:rPr>
              <w:t>.</w:t>
            </w:r>
          </w:p>
          <w:p>
            <w:pPr>
              <w:pStyle w:val="66"/>
              <w:numPr>
                <w:ilvl w:val="1"/>
                <w:numId w:val="4"/>
              </w:numPr>
              <w:spacing w:before="120"/>
              <w:jc w:val="both"/>
              <w:rPr>
                <w:rFonts w:ascii="Times New Roman" w:hAnsi="Times New Roman" w:cs="Times New Roman"/>
                <w:b w:val="0"/>
                <w:bCs w:val="0"/>
                <w:sz w:val="20"/>
                <w:szCs w:val="20"/>
                <w:lang w:val="en-GB" w:eastAsia="zh-CN"/>
              </w:rPr>
            </w:pPr>
            <w:r>
              <w:rPr>
                <w:rFonts w:ascii="Times New Roman" w:hAnsi="Times New Roman" w:cs="Times New Roman"/>
                <w:b w:val="0"/>
                <w:bCs w:val="0"/>
                <w:sz w:val="20"/>
                <w:szCs w:val="20"/>
                <w:lang w:val="en-GB" w:eastAsia="zh-CN"/>
              </w:rPr>
              <w:t>Study the authorization of WAB nodes</w:t>
            </w:r>
            <w:r>
              <w:rPr>
                <w:rFonts w:hint="eastAsia" w:ascii="Times New Roman" w:hAnsi="Times New Roman" w:cs="Times New Roman"/>
                <w:b w:val="0"/>
                <w:bCs w:val="0"/>
                <w:sz w:val="20"/>
                <w:szCs w:val="20"/>
                <w:lang w:val="en-US" w:eastAsia="zh-CN"/>
              </w:rPr>
              <w:t>.</w:t>
            </w:r>
          </w:p>
          <w:p>
            <w:pPr>
              <w:pStyle w:val="66"/>
              <w:numPr>
                <w:ilvl w:val="1"/>
                <w:numId w:val="4"/>
              </w:numPr>
              <w:spacing w:before="120"/>
              <w:jc w:val="both"/>
              <w:rPr>
                <w:rFonts w:ascii="Times New Roman" w:hAnsi="Times New Roman" w:cs="Times New Roman"/>
                <w:b w:val="0"/>
                <w:bCs w:val="0"/>
                <w:sz w:val="20"/>
                <w:szCs w:val="20"/>
                <w:lang w:val="en-GB" w:eastAsia="zh-CN"/>
              </w:rPr>
            </w:pPr>
            <w:r>
              <w:rPr>
                <w:rFonts w:ascii="Times New Roman" w:hAnsi="Times New Roman" w:cs="Times New Roman"/>
                <w:b w:val="0"/>
                <w:bCs w:val="0"/>
                <w:sz w:val="20"/>
                <w:szCs w:val="20"/>
                <w:lang w:val="en-GB" w:eastAsia="zh-CN"/>
              </w:rPr>
              <w:t xml:space="preserve">Study </w:t>
            </w:r>
            <w:r>
              <w:rPr>
                <w:rFonts w:hint="eastAsia" w:ascii="Times New Roman" w:hAnsi="Times New Roman" w:cs="Times New Roman"/>
                <w:b w:val="0"/>
                <w:bCs w:val="0"/>
                <w:sz w:val="20"/>
                <w:szCs w:val="20"/>
                <w:lang w:val="en-US" w:eastAsia="zh-CN"/>
              </w:rPr>
              <w:t xml:space="preserve">the </w:t>
            </w:r>
            <w:r>
              <w:rPr>
                <w:rFonts w:ascii="Times New Roman" w:hAnsi="Times New Roman" w:cs="Times New Roman"/>
                <w:b w:val="0"/>
                <w:bCs w:val="0"/>
                <w:sz w:val="20"/>
                <w:szCs w:val="20"/>
                <w:lang w:val="en-GB" w:eastAsia="zh-CN"/>
              </w:rPr>
              <w:t>resource multiplexing framework</w:t>
            </w:r>
            <w:r>
              <w:rPr>
                <w:rFonts w:hint="eastAsia" w:ascii="Times New Roman" w:hAnsi="Times New Roman" w:cs="Times New Roman"/>
                <w:b w:val="0"/>
                <w:bCs w:val="0"/>
                <w:sz w:val="20"/>
                <w:szCs w:val="20"/>
                <w:lang w:val="en-US" w:eastAsia="zh-CN"/>
              </w:rPr>
              <w:t xml:space="preserve"> for WAB with legacy IAB mechanism as baseline</w:t>
            </w:r>
            <w:r>
              <w:rPr>
                <w:rFonts w:ascii="Times New Roman" w:hAnsi="Times New Roman" w:cs="Times New Roman"/>
                <w:b w:val="0"/>
                <w:bCs w:val="0"/>
                <w:sz w:val="20"/>
                <w:szCs w:val="20"/>
                <w:lang w:val="en-GB" w:eastAsia="zh-CN"/>
              </w:rPr>
              <w:t>.</w:t>
            </w:r>
          </w:p>
          <w:p>
            <w:pPr>
              <w:pStyle w:val="66"/>
              <w:numPr>
                <w:ilvl w:val="1"/>
                <w:numId w:val="4"/>
              </w:numPr>
              <w:spacing w:before="120"/>
              <w:jc w:val="both"/>
              <w:rPr>
                <w:rFonts w:ascii="Times New Roman" w:hAnsi="Times New Roman" w:cs="Times New Roman"/>
                <w:b w:val="0"/>
                <w:bCs w:val="0"/>
                <w:sz w:val="20"/>
                <w:szCs w:val="20"/>
                <w:lang w:val="en-GB" w:eastAsia="zh-CN"/>
              </w:rPr>
            </w:pPr>
            <w:r>
              <w:rPr>
                <w:rFonts w:ascii="Times New Roman" w:hAnsi="Times New Roman" w:cs="Times New Roman"/>
                <w:b w:val="0"/>
                <w:bCs w:val="0"/>
                <w:sz w:val="20"/>
                <w:szCs w:val="20"/>
                <w:lang w:val="en-GB" w:eastAsia="zh-CN"/>
              </w:rPr>
              <w:t xml:space="preserve">Study </w:t>
            </w:r>
            <w:r>
              <w:rPr>
                <w:rFonts w:hint="default" w:ascii="Times New Roman" w:hAnsi="Times New Roman" w:cs="Times New Roman"/>
                <w:b w:val="0"/>
                <w:bCs w:val="0"/>
                <w:sz w:val="20"/>
                <w:szCs w:val="20"/>
                <w:lang w:val="en-US" w:eastAsia="zh-CN"/>
              </w:rPr>
              <w:t>potential</w:t>
            </w:r>
            <w:r>
              <w:rPr>
                <w:rFonts w:ascii="Times New Roman" w:hAnsi="Times New Roman" w:cs="Times New Roman"/>
                <w:b w:val="0"/>
                <w:bCs w:val="0"/>
                <w:sz w:val="20"/>
                <w:szCs w:val="20"/>
                <w:lang w:val="en-GB" w:eastAsia="zh-CN"/>
              </w:rPr>
              <w:t xml:space="preserve"> QoS </w:t>
            </w:r>
            <w:r>
              <w:rPr>
                <w:rFonts w:hint="default" w:ascii="Times New Roman" w:hAnsi="Times New Roman" w:cs="Times New Roman"/>
                <w:b w:val="0"/>
                <w:bCs w:val="0"/>
                <w:sz w:val="20"/>
                <w:szCs w:val="20"/>
                <w:lang w:val="en-US" w:eastAsia="zh-CN"/>
              </w:rPr>
              <w:t>enhancement</w:t>
            </w:r>
            <w:r>
              <w:rPr>
                <w:rFonts w:ascii="Times New Roman" w:hAnsi="Times New Roman" w:cs="Times New Roman"/>
                <w:b w:val="0"/>
                <w:bCs w:val="0"/>
                <w:sz w:val="20"/>
                <w:szCs w:val="20"/>
                <w:lang w:val="en-GB" w:eastAsia="zh-CN"/>
              </w:rPr>
              <w:t xml:space="preserve"> on WAB backhaul</w:t>
            </w:r>
            <w:r>
              <w:rPr>
                <w:rFonts w:hint="default" w:ascii="Times New Roman" w:hAnsi="Times New Roman" w:cs="Times New Roman"/>
                <w:b w:val="0"/>
                <w:bCs w:val="0"/>
                <w:sz w:val="20"/>
                <w:szCs w:val="20"/>
                <w:lang w:val="en-US" w:eastAsia="zh-CN"/>
              </w:rPr>
              <w:t xml:space="preserve"> if</w:t>
            </w:r>
            <w:r>
              <w:rPr>
                <w:rFonts w:ascii="Times New Roman" w:hAnsi="Times New Roman" w:cs="Times New Roman"/>
                <w:b w:val="0"/>
                <w:bCs w:val="0"/>
                <w:sz w:val="20"/>
                <w:szCs w:val="20"/>
                <w:lang w:val="en-GB" w:eastAsia="zh-CN"/>
              </w:rPr>
              <w:t xml:space="preserve"> necessary.</w:t>
            </w:r>
          </w:p>
          <w:p>
            <w:pPr>
              <w:overflowPunct/>
              <w:autoSpaceDE/>
              <w:autoSpaceDN/>
              <w:adjustRightInd/>
              <w:spacing w:before="120" w:after="0"/>
              <w:ind w:firstLine="600" w:firstLineChars="300"/>
              <w:jc w:val="both"/>
              <w:textAlignment w:val="auto"/>
              <w:rPr>
                <w:rFonts w:hint="eastAsia" w:cs="Times New Roman"/>
                <w:b/>
                <w:bCs/>
                <w:sz w:val="20"/>
                <w:szCs w:val="20"/>
                <w:vertAlign w:val="baseline"/>
                <w:lang w:val="en-US" w:eastAsia="zh-CN"/>
              </w:rPr>
            </w:pPr>
            <w:r>
              <w:rPr>
                <w:rFonts w:ascii="Times New Roman" w:hAnsi="Times New Roman" w:cs="Times New Roman"/>
                <w:b w:val="0"/>
                <w:bCs w:val="0"/>
                <w:sz w:val="20"/>
                <w:szCs w:val="20"/>
                <w:lang w:val="en-GB" w:eastAsia="zh-CN"/>
              </w:rPr>
              <w:t xml:space="preserve">Note: </w:t>
            </w:r>
            <w:r>
              <w:rPr>
                <w:rFonts w:hint="default" w:ascii="Times New Roman" w:hAnsi="Times New Roman" w:cs="Times New Roman"/>
                <w:b w:val="0"/>
                <w:bCs w:val="0"/>
                <w:sz w:val="20"/>
                <w:szCs w:val="20"/>
                <w:lang w:val="en-US" w:eastAsia="zh-CN"/>
              </w:rPr>
              <w:t xml:space="preserve">Transparent NTN access </w:t>
            </w:r>
            <w:r>
              <w:rPr>
                <w:rFonts w:ascii="Times New Roman" w:hAnsi="Times New Roman" w:cs="Times New Roman"/>
                <w:b w:val="0"/>
                <w:bCs w:val="0"/>
                <w:sz w:val="20"/>
                <w:szCs w:val="20"/>
                <w:lang w:val="en-GB" w:eastAsia="zh-CN"/>
              </w:rPr>
              <w:t xml:space="preserve">for WAB backhaul can be </w:t>
            </w:r>
            <w:r>
              <w:rPr>
                <w:rFonts w:hint="default" w:ascii="Times New Roman" w:hAnsi="Times New Roman" w:cs="Times New Roman"/>
                <w:b w:val="0"/>
                <w:bCs w:val="0"/>
                <w:sz w:val="20"/>
                <w:szCs w:val="20"/>
                <w:lang w:val="en-US" w:eastAsia="zh-CN"/>
              </w:rPr>
              <w:t>considered without additional optimization</w:t>
            </w:r>
            <w:r>
              <w:rPr>
                <w:rFonts w:ascii="Times New Roman" w:hAnsi="Times New Roman" w:cs="Times New Roman"/>
                <w:b w:val="0"/>
                <w:bCs w:val="0"/>
                <w:sz w:val="20"/>
                <w:szCs w:val="20"/>
                <w:lang w:val="en-GB" w:eastAsia="zh-CN"/>
              </w:rPr>
              <w: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37" w:beforeLines="50" w:line="260" w:lineRule="auto"/>
        <w:jc w:val="both"/>
        <w:textAlignment w:val="baseline"/>
        <w:rPr>
          <w:rFonts w:hint="eastAsia"/>
          <w:b/>
          <w:bCs/>
          <w:lang w:val="en-US" w:eastAsia="zh-CN"/>
        </w:rPr>
      </w:pPr>
      <w:r>
        <w:rPr>
          <w:rFonts w:hint="eastAsia"/>
          <w:b/>
          <w:bCs/>
          <w:lang w:val="en-US" w:eastAsia="zh-CN"/>
        </w:rPr>
        <w:t xml:space="preserve">Proposal 2: The enhancement of multi-hop routing within the IAB topology is not considered in R19. </w:t>
      </w:r>
    </w:p>
    <w:p>
      <w:pPr>
        <w:spacing w:before="120" w:line="259" w:lineRule="auto"/>
        <w:jc w:val="both"/>
        <w:rPr>
          <w:rFonts w:hint="eastAsia" w:eastAsia="宋体"/>
          <w:lang w:eastAsia="zh-CN"/>
        </w:rPr>
      </w:pPr>
      <w:r>
        <w:rPr>
          <w:rFonts w:hint="eastAsia"/>
          <w:b/>
          <w:bCs/>
          <w:lang w:val="en-US" w:eastAsia="zh-CN"/>
        </w:rPr>
        <w:t xml:space="preserve">Proposal 3: For 5G Femto, it is suggested to remove the study of local service from the objectives and only study the </w:t>
      </w:r>
      <w:r>
        <w:rPr>
          <w:rFonts w:hint="default" w:ascii="Times New Roman" w:hAnsi="Times New Roman" w:cs="Times New Roman"/>
          <w:b/>
          <w:bCs/>
          <w:szCs w:val="21"/>
          <w:lang w:val="en-GB" w:eastAsia="zh-CN"/>
        </w:rPr>
        <w:t>overall RAN architecture</w:t>
      </w:r>
      <w:r>
        <w:rPr>
          <w:rFonts w:hint="eastAsia" w:cs="Times New Roman"/>
          <w:b/>
          <w:bCs/>
          <w:szCs w:val="21"/>
          <w:lang w:val="en-US" w:eastAsia="zh-CN"/>
        </w:rPr>
        <w:t xml:space="preserve"> and </w:t>
      </w:r>
      <w:r>
        <w:rPr>
          <w:rFonts w:hint="default" w:ascii="Times New Roman" w:hAnsi="Times New Roman" w:cs="Times New Roman"/>
          <w:b/>
          <w:bCs/>
          <w:szCs w:val="21"/>
          <w:lang w:val="en-GB" w:eastAsia="zh-CN"/>
        </w:rPr>
        <w:t>access control</w:t>
      </w:r>
      <w:r>
        <w:rPr>
          <w:rFonts w:hint="eastAsia" w:cs="Times New Roman"/>
          <w:b/>
          <w:bCs/>
          <w:szCs w:val="21"/>
          <w:lang w:val="en-US" w:eastAsia="zh-CN"/>
        </w:rPr>
        <w:t>.</w:t>
      </w:r>
      <w:r>
        <w:rPr>
          <w:rFonts w:hint="eastAsia" w:ascii="Times New Roman" w:hAnsi="Times New Roman" w:eastAsia="宋体" w:cs="Times New Roman"/>
          <w:b/>
          <w:bCs/>
          <w:lang w:val="en-US" w:eastAsia="zh-CN"/>
        </w:rPr>
        <w:t xml:space="preserve"> </w:t>
      </w:r>
    </w:p>
    <w:p>
      <w:pPr>
        <w:pStyle w:val="2"/>
        <w:numPr>
          <w:ilvl w:val="0"/>
          <w:numId w:val="3"/>
        </w:numPr>
        <w:ind w:left="360"/>
        <w:rPr>
          <w:rFonts w:ascii="Arial" w:hAnsi="Arial" w:eastAsia="宋体" w:cs="Arial"/>
          <w:sz w:val="32"/>
          <w:szCs w:val="32"/>
        </w:rPr>
      </w:pPr>
      <w:r>
        <w:rPr>
          <w:rFonts w:ascii="Arial" w:hAnsi="Arial" w:eastAsia="宋体" w:cs="Arial"/>
          <w:sz w:val="32"/>
          <w:szCs w:val="32"/>
        </w:rPr>
        <w:t>Reference</w:t>
      </w:r>
    </w:p>
    <w:p>
      <w:pPr>
        <w:pStyle w:val="66"/>
        <w:numPr>
          <w:ilvl w:val="0"/>
          <w:numId w:val="7"/>
        </w:numPr>
        <w:ind w:left="540" w:hanging="540"/>
        <w:rPr>
          <w:rFonts w:hint="default" w:ascii="Times New Roman" w:hAnsi="Times New Roman" w:cs="Times New Roman"/>
          <w:sz w:val="20"/>
          <w:szCs w:val="20"/>
          <w:lang w:val="en-US"/>
        </w:rPr>
      </w:pPr>
      <w:r>
        <w:rPr>
          <w:rFonts w:hint="default" w:ascii="Times New Roman" w:hAnsi="Times New Roman" w:cs="Times New Roman"/>
          <w:sz w:val="20"/>
          <w:szCs w:val="20"/>
          <w:lang w:val="en-US"/>
        </w:rPr>
        <w:t>R</w:t>
      </w:r>
      <w:r>
        <w:rPr>
          <w:rFonts w:hint="default" w:ascii="Times New Roman" w:hAnsi="Times New Roman" w:eastAsia="Calibri" w:cs="Times New Roman"/>
          <w:sz w:val="20"/>
          <w:szCs w:val="20"/>
          <w:lang w:val="en-US" w:eastAsia="zh-CN"/>
        </w:rPr>
        <w:t>P</w:t>
      </w:r>
      <w:r>
        <w:rPr>
          <w:rFonts w:hint="default" w:ascii="Times New Roman" w:hAnsi="Times New Roman" w:cs="Times New Roman"/>
          <w:sz w:val="20"/>
          <w:szCs w:val="20"/>
          <w:lang w:val="en-US"/>
        </w:rPr>
        <w:t>-2</w:t>
      </w:r>
      <w:r>
        <w:rPr>
          <w:rFonts w:hint="default" w:ascii="Times New Roman" w:hAnsi="Times New Roman" w:eastAsia="Calibri" w:cs="Times New Roman"/>
          <w:sz w:val="20"/>
          <w:szCs w:val="20"/>
          <w:lang w:val="en-US" w:eastAsia="zh-CN"/>
        </w:rPr>
        <w:t>32625</w:t>
      </w:r>
      <w:r>
        <w:rPr>
          <w:rFonts w:hint="default" w:ascii="Times New Roman" w:hAnsi="Times New Roman" w:cs="Times New Roman"/>
          <w:sz w:val="20"/>
          <w:szCs w:val="20"/>
          <w:lang w:val="en-US" w:eastAsia="zh-CN"/>
        </w:rPr>
        <w:t xml:space="preserve"> </w:t>
      </w:r>
      <w:r>
        <w:rPr>
          <w:rFonts w:hint="default" w:ascii="Times New Roman" w:hAnsi="Times New Roman" w:cs="Times New Roman"/>
          <w:bCs w:val="0"/>
          <w:sz w:val="20"/>
          <w:szCs w:val="20"/>
          <w:lang w:val="en-US"/>
        </w:rPr>
        <w:t>Moderator's summary for REL-19 RAN3 topic Additional Topological Enhancements</w:t>
      </w:r>
      <w:r>
        <w:rPr>
          <w:rFonts w:hint="default" w:ascii="Times New Roman" w:hAnsi="Times New Roman" w:cs="Times New Roman"/>
          <w:sz w:val="20"/>
          <w:szCs w:val="20"/>
          <w:lang w:val="en-US" w:eastAsia="zh-CN"/>
        </w:rPr>
        <w:t>, Sept. 2023</w:t>
      </w:r>
    </w:p>
    <w:p>
      <w:pPr>
        <w:pStyle w:val="66"/>
        <w:numPr>
          <w:ilvl w:val="0"/>
          <w:numId w:val="7"/>
        </w:numPr>
        <w:ind w:left="540" w:hanging="540"/>
        <w:rPr>
          <w:rFonts w:hint="default" w:ascii="Times New Roman" w:hAnsi="Times New Roman" w:cs="Times New Roman"/>
          <w:sz w:val="20"/>
          <w:szCs w:val="20"/>
          <w:lang w:val="en-US"/>
        </w:rPr>
      </w:pPr>
      <w:r>
        <w:rPr>
          <w:rFonts w:ascii="Times New Roman" w:hAnsi="Times New Roman" w:cs="Times New Roman"/>
          <w:b w:val="0"/>
          <w:sz w:val="20"/>
          <w:szCs w:val="20"/>
        </w:rPr>
        <w:t>S2-2313914</w:t>
      </w:r>
      <w:r>
        <w:rPr>
          <w:rFonts w:hint="eastAsia" w:ascii="Times New Roman" w:hAnsi="Times New Roman" w:eastAsia="宋体" w:cs="Times New Roman"/>
          <w:b w:val="0"/>
          <w:sz w:val="20"/>
          <w:szCs w:val="20"/>
          <w:lang w:val="en-US" w:eastAsia="zh-CN"/>
        </w:rPr>
        <w:t xml:space="preserve"> </w:t>
      </w:r>
      <w:r>
        <w:rPr>
          <w:rFonts w:ascii="Times New Roman" w:hAnsi="Times New Roman" w:eastAsia="Calibri" w:cs="Times New Roman"/>
          <w:b w:val="0"/>
          <w:sz w:val="20"/>
          <w:szCs w:val="20"/>
          <w:lang w:eastAsia="zh-CN"/>
        </w:rPr>
        <w:t>New SID on System aspects of 5G NR Femto</w:t>
      </w:r>
      <w:r>
        <w:rPr>
          <w:rFonts w:hint="eastAsia" w:ascii="Times New Roman" w:hAnsi="Times New Roman" w:cs="Times New Roman"/>
          <w:b w:val="0"/>
          <w:sz w:val="20"/>
          <w:szCs w:val="20"/>
          <w:lang w:val="en-US" w:eastAsia="zh-CN"/>
        </w:rPr>
        <w:t xml:space="preserve">, </w:t>
      </w:r>
      <w:r>
        <w:rPr>
          <w:rFonts w:ascii="Times New Roman" w:hAnsi="Times New Roman" w:eastAsia="Calibri"/>
          <w:b w:val="0"/>
          <w:sz w:val="20"/>
          <w:szCs w:val="20"/>
          <w:lang w:val="en-US" w:eastAsia="zh-CN"/>
        </w:rPr>
        <w:t>NTT DOCOMO</w:t>
      </w:r>
    </w:p>
    <w:p>
      <w:pPr>
        <w:pStyle w:val="66"/>
        <w:numPr>
          <w:ilvl w:val="0"/>
          <w:numId w:val="0"/>
        </w:numPr>
        <w:ind w:leftChars="0"/>
        <w:rPr>
          <w:rFonts w:hint="default" w:ascii="Times New Roman" w:hAnsi="Times New Roman" w:cs="Times New Roman"/>
          <w:sz w:val="20"/>
          <w:szCs w:val="20"/>
          <w:lang w:val="en-US"/>
        </w:rPr>
      </w:pPr>
    </w:p>
    <w:sectPr>
      <w:footerReference r:id="rId4" w:type="default"/>
      <w:headerReference r:id="rId3" w:type="even"/>
      <w:footerReference r:id="rId5" w:type="even"/>
      <w:footnotePr>
        <w:numRestart w:val="eachSect"/>
      </w:footnotePr>
      <w:type w:val="continuous"/>
      <w:pgSz w:w="12240" w:h="15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NewRomanPSMT">
    <w:altName w:val="Times New Roman"/>
    <w:panose1 w:val="00000000000000000000"/>
    <w:charset w:val="00"/>
    <w:family w:val="roman"/>
    <w:pitch w:val="default"/>
    <w:sig w:usb0="00000000" w:usb1="00000000" w:usb2="00000000" w:usb3="00000000" w:csb0="00040001" w:csb1="00000000"/>
  </w:font>
  <w:font w:name="TimesNewRomanPS-BoldMT">
    <w:altName w:val="Times New Roman"/>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fldChar w:fldCharType="begin"/>
    </w:r>
    <w:r>
      <w:instrText xml:space="preserve"> PAGE   \* MERGEFORMAT </w:instrText>
    </w:r>
    <w:r>
      <w:fldChar w:fldCharType="separate"/>
    </w:r>
    <w:r>
      <w:t>6</w:t>
    </w:r>
    <w:r>
      <w:fldChar w:fldCharType="end"/>
    </w:r>
  </w:p>
  <w:p>
    <w:pPr>
      <w:pStyle w:val="3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framePr w:wrap="around" w:vAnchor="text" w:hAnchor="margin" w:xAlign="right" w:y="1"/>
      <w:rPr>
        <w:rStyle w:val="52"/>
      </w:rPr>
    </w:pPr>
    <w:r>
      <w:fldChar w:fldCharType="begin"/>
    </w:r>
    <w:r>
      <w:rPr>
        <w:rStyle w:val="52"/>
      </w:rPr>
      <w:instrText xml:space="preserve">PAGE  </w:instrText>
    </w:r>
    <w:r>
      <w:fldChar w:fldCharType="end"/>
    </w:r>
  </w:p>
  <w:p>
    <w:pPr>
      <w:pStyle w:val="3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6EE67"/>
    <w:multiLevelType w:val="singleLevel"/>
    <w:tmpl w:val="1876EE67"/>
    <w:lvl w:ilvl="0" w:tentative="0">
      <w:start w:val="1"/>
      <w:numFmt w:val="bullet"/>
      <w:lvlText w:val=""/>
      <w:lvlJc w:val="left"/>
      <w:pPr>
        <w:ind w:left="420" w:hanging="420"/>
      </w:pPr>
      <w:rPr>
        <w:rFonts w:hint="default" w:ascii="Wingdings" w:hAnsi="Wingdings"/>
      </w:rPr>
    </w:lvl>
  </w:abstractNum>
  <w:abstractNum w:abstractNumId="1">
    <w:nsid w:val="23A228B2"/>
    <w:multiLevelType w:val="multilevel"/>
    <w:tmpl w:val="23A228B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CC7125C"/>
    <w:multiLevelType w:val="singleLevel"/>
    <w:tmpl w:val="2CC7125C"/>
    <w:lvl w:ilvl="0" w:tentative="0">
      <w:start w:val="1"/>
      <w:numFmt w:val="bullet"/>
      <w:pStyle w:val="103"/>
      <w:lvlText w:val=""/>
      <w:lvlJc w:val="left"/>
      <w:pPr>
        <w:tabs>
          <w:tab w:val="left" w:pos="360"/>
        </w:tabs>
        <w:ind w:left="360" w:hanging="360"/>
      </w:pPr>
      <w:rPr>
        <w:rFonts w:hint="default" w:ascii="Symbol" w:hAnsi="Symbol"/>
      </w:rPr>
    </w:lvl>
  </w:abstractNum>
  <w:abstractNum w:abstractNumId="3">
    <w:nsid w:val="417F6AFB"/>
    <w:multiLevelType w:val="multilevel"/>
    <w:tmpl w:val="417F6AFB"/>
    <w:lvl w:ilvl="0" w:tentative="0">
      <w:start w:val="1"/>
      <w:numFmt w:val="bullet"/>
      <w:pStyle w:val="85"/>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86D543E"/>
    <w:multiLevelType w:val="multilevel"/>
    <w:tmpl w:val="486D543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EE30295"/>
    <w:multiLevelType w:val="multilevel"/>
    <w:tmpl w:val="5EE30295"/>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6">
    <w:nsid w:val="64D45CBF"/>
    <w:multiLevelType w:val="multilevel"/>
    <w:tmpl w:val="64D45C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4C0"/>
    <w:rsid w:val="00010CC8"/>
    <w:rsid w:val="00010E97"/>
    <w:rsid w:val="00010FD1"/>
    <w:rsid w:val="00011703"/>
    <w:rsid w:val="000124D1"/>
    <w:rsid w:val="00012D90"/>
    <w:rsid w:val="0001321B"/>
    <w:rsid w:val="000137FF"/>
    <w:rsid w:val="00013B63"/>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89C"/>
    <w:rsid w:val="00033A55"/>
    <w:rsid w:val="00033AE8"/>
    <w:rsid w:val="00033CE7"/>
    <w:rsid w:val="00033E5C"/>
    <w:rsid w:val="00033F07"/>
    <w:rsid w:val="000349B7"/>
    <w:rsid w:val="00034DC2"/>
    <w:rsid w:val="000350B6"/>
    <w:rsid w:val="0003540B"/>
    <w:rsid w:val="00035CAB"/>
    <w:rsid w:val="00036143"/>
    <w:rsid w:val="00036A16"/>
    <w:rsid w:val="00036C45"/>
    <w:rsid w:val="00036FA7"/>
    <w:rsid w:val="000377E3"/>
    <w:rsid w:val="00037910"/>
    <w:rsid w:val="00037A21"/>
    <w:rsid w:val="00037F29"/>
    <w:rsid w:val="000404F2"/>
    <w:rsid w:val="000409BB"/>
    <w:rsid w:val="00040F7A"/>
    <w:rsid w:val="000412B7"/>
    <w:rsid w:val="000413B8"/>
    <w:rsid w:val="0004182E"/>
    <w:rsid w:val="000418C8"/>
    <w:rsid w:val="00041D14"/>
    <w:rsid w:val="00041E2B"/>
    <w:rsid w:val="00042197"/>
    <w:rsid w:val="000426B1"/>
    <w:rsid w:val="00042A15"/>
    <w:rsid w:val="00042BFC"/>
    <w:rsid w:val="000430CF"/>
    <w:rsid w:val="00043703"/>
    <w:rsid w:val="0004403C"/>
    <w:rsid w:val="00044225"/>
    <w:rsid w:val="00044328"/>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0621"/>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7E6"/>
    <w:rsid w:val="00065D64"/>
    <w:rsid w:val="00065FB5"/>
    <w:rsid w:val="000667D1"/>
    <w:rsid w:val="00066AEA"/>
    <w:rsid w:val="00066E05"/>
    <w:rsid w:val="00067087"/>
    <w:rsid w:val="000671F8"/>
    <w:rsid w:val="0006739D"/>
    <w:rsid w:val="00067436"/>
    <w:rsid w:val="000674DD"/>
    <w:rsid w:val="0006777C"/>
    <w:rsid w:val="0006782C"/>
    <w:rsid w:val="00067FE2"/>
    <w:rsid w:val="00070378"/>
    <w:rsid w:val="0007118F"/>
    <w:rsid w:val="00071415"/>
    <w:rsid w:val="000716FB"/>
    <w:rsid w:val="00071C6A"/>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55F8"/>
    <w:rsid w:val="000862BA"/>
    <w:rsid w:val="00086B50"/>
    <w:rsid w:val="00086C4D"/>
    <w:rsid w:val="00086CF2"/>
    <w:rsid w:val="0008731C"/>
    <w:rsid w:val="0008760B"/>
    <w:rsid w:val="00087740"/>
    <w:rsid w:val="00087881"/>
    <w:rsid w:val="00087BAB"/>
    <w:rsid w:val="00087E29"/>
    <w:rsid w:val="00087F91"/>
    <w:rsid w:val="00090573"/>
    <w:rsid w:val="00090586"/>
    <w:rsid w:val="00091714"/>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5F40"/>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1D0D"/>
    <w:rsid w:val="000B256B"/>
    <w:rsid w:val="000B32D4"/>
    <w:rsid w:val="000B38DA"/>
    <w:rsid w:val="000B3F37"/>
    <w:rsid w:val="000B3F91"/>
    <w:rsid w:val="000B49D7"/>
    <w:rsid w:val="000B53AF"/>
    <w:rsid w:val="000B546F"/>
    <w:rsid w:val="000B60B9"/>
    <w:rsid w:val="000B65BE"/>
    <w:rsid w:val="000B6620"/>
    <w:rsid w:val="000B6BDF"/>
    <w:rsid w:val="000B6EB4"/>
    <w:rsid w:val="000B71B6"/>
    <w:rsid w:val="000B7387"/>
    <w:rsid w:val="000B76BB"/>
    <w:rsid w:val="000B7D5E"/>
    <w:rsid w:val="000C03C0"/>
    <w:rsid w:val="000C133A"/>
    <w:rsid w:val="000C186B"/>
    <w:rsid w:val="000C1DBD"/>
    <w:rsid w:val="000C1F69"/>
    <w:rsid w:val="000C2038"/>
    <w:rsid w:val="000C2DE1"/>
    <w:rsid w:val="000C393F"/>
    <w:rsid w:val="000C3987"/>
    <w:rsid w:val="000C3F16"/>
    <w:rsid w:val="000C4C76"/>
    <w:rsid w:val="000C4D68"/>
    <w:rsid w:val="000C518D"/>
    <w:rsid w:val="000C530C"/>
    <w:rsid w:val="000C550B"/>
    <w:rsid w:val="000C5759"/>
    <w:rsid w:val="000C5D5A"/>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B51"/>
    <w:rsid w:val="000D6E96"/>
    <w:rsid w:val="000D7085"/>
    <w:rsid w:val="000D7268"/>
    <w:rsid w:val="000D75CC"/>
    <w:rsid w:val="000D761A"/>
    <w:rsid w:val="000D7783"/>
    <w:rsid w:val="000D788B"/>
    <w:rsid w:val="000D7C7C"/>
    <w:rsid w:val="000E011D"/>
    <w:rsid w:val="000E060F"/>
    <w:rsid w:val="000E14B9"/>
    <w:rsid w:val="000E182B"/>
    <w:rsid w:val="000E1E2E"/>
    <w:rsid w:val="000E1E8E"/>
    <w:rsid w:val="000E279B"/>
    <w:rsid w:val="000E3075"/>
    <w:rsid w:val="000E3358"/>
    <w:rsid w:val="000E38ED"/>
    <w:rsid w:val="000E3F84"/>
    <w:rsid w:val="000E471D"/>
    <w:rsid w:val="000E48CD"/>
    <w:rsid w:val="000E4C9B"/>
    <w:rsid w:val="000E4D01"/>
    <w:rsid w:val="000E514C"/>
    <w:rsid w:val="000E5830"/>
    <w:rsid w:val="000E5C4E"/>
    <w:rsid w:val="000E5D6C"/>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89E"/>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0CC3"/>
    <w:rsid w:val="00100DBE"/>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42A"/>
    <w:rsid w:val="0010660E"/>
    <w:rsid w:val="00106A95"/>
    <w:rsid w:val="00106CC3"/>
    <w:rsid w:val="00106E7E"/>
    <w:rsid w:val="001074D1"/>
    <w:rsid w:val="001076B8"/>
    <w:rsid w:val="00110E1D"/>
    <w:rsid w:val="001115C0"/>
    <w:rsid w:val="001115F4"/>
    <w:rsid w:val="001118AA"/>
    <w:rsid w:val="00111AD9"/>
    <w:rsid w:val="0011240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711"/>
    <w:rsid w:val="00117957"/>
    <w:rsid w:val="00117B90"/>
    <w:rsid w:val="00117D69"/>
    <w:rsid w:val="00117F8D"/>
    <w:rsid w:val="001203DB"/>
    <w:rsid w:val="0012079F"/>
    <w:rsid w:val="001207F3"/>
    <w:rsid w:val="00121897"/>
    <w:rsid w:val="00121D41"/>
    <w:rsid w:val="00122581"/>
    <w:rsid w:val="00122842"/>
    <w:rsid w:val="00122EB3"/>
    <w:rsid w:val="0012345C"/>
    <w:rsid w:val="001235C4"/>
    <w:rsid w:val="00123975"/>
    <w:rsid w:val="00123B4E"/>
    <w:rsid w:val="00123D62"/>
    <w:rsid w:val="00123DED"/>
    <w:rsid w:val="00123F1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BE5"/>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6FD"/>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2F77"/>
    <w:rsid w:val="00153021"/>
    <w:rsid w:val="001531FD"/>
    <w:rsid w:val="0015347E"/>
    <w:rsid w:val="00153A48"/>
    <w:rsid w:val="00153A6B"/>
    <w:rsid w:val="00153EEF"/>
    <w:rsid w:val="00153F29"/>
    <w:rsid w:val="001544AB"/>
    <w:rsid w:val="00154B50"/>
    <w:rsid w:val="00155F7A"/>
    <w:rsid w:val="00156260"/>
    <w:rsid w:val="00156439"/>
    <w:rsid w:val="0015674F"/>
    <w:rsid w:val="00156CB0"/>
    <w:rsid w:val="0016019C"/>
    <w:rsid w:val="00160674"/>
    <w:rsid w:val="00160786"/>
    <w:rsid w:val="00160EDD"/>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16D"/>
    <w:rsid w:val="0016764C"/>
    <w:rsid w:val="00167709"/>
    <w:rsid w:val="00170397"/>
    <w:rsid w:val="001706E4"/>
    <w:rsid w:val="001708D0"/>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412"/>
    <w:rsid w:val="001806BE"/>
    <w:rsid w:val="00180E60"/>
    <w:rsid w:val="001810E1"/>
    <w:rsid w:val="001817BA"/>
    <w:rsid w:val="00181B3A"/>
    <w:rsid w:val="00181F92"/>
    <w:rsid w:val="001820B2"/>
    <w:rsid w:val="001821E9"/>
    <w:rsid w:val="00182608"/>
    <w:rsid w:val="00182A47"/>
    <w:rsid w:val="00182E75"/>
    <w:rsid w:val="001836DF"/>
    <w:rsid w:val="00183CC6"/>
    <w:rsid w:val="00183D8A"/>
    <w:rsid w:val="00183E3A"/>
    <w:rsid w:val="00183E8B"/>
    <w:rsid w:val="00183F11"/>
    <w:rsid w:val="001840F5"/>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237"/>
    <w:rsid w:val="001925E5"/>
    <w:rsid w:val="00192D98"/>
    <w:rsid w:val="00193987"/>
    <w:rsid w:val="00195459"/>
    <w:rsid w:val="00195730"/>
    <w:rsid w:val="0019573B"/>
    <w:rsid w:val="0019592C"/>
    <w:rsid w:val="00196085"/>
    <w:rsid w:val="00196A48"/>
    <w:rsid w:val="00196B90"/>
    <w:rsid w:val="00196FF4"/>
    <w:rsid w:val="0019734F"/>
    <w:rsid w:val="00197AFF"/>
    <w:rsid w:val="001A0303"/>
    <w:rsid w:val="001A032E"/>
    <w:rsid w:val="001A0421"/>
    <w:rsid w:val="001A067A"/>
    <w:rsid w:val="001A258A"/>
    <w:rsid w:val="001A277A"/>
    <w:rsid w:val="001A2939"/>
    <w:rsid w:val="001A2FD5"/>
    <w:rsid w:val="001A3037"/>
    <w:rsid w:val="001A30B0"/>
    <w:rsid w:val="001A30FB"/>
    <w:rsid w:val="001A35B2"/>
    <w:rsid w:val="001A36B8"/>
    <w:rsid w:val="001A36CF"/>
    <w:rsid w:val="001A3974"/>
    <w:rsid w:val="001A3F0F"/>
    <w:rsid w:val="001A3FA5"/>
    <w:rsid w:val="001A43EB"/>
    <w:rsid w:val="001A4EDF"/>
    <w:rsid w:val="001A4F86"/>
    <w:rsid w:val="001A5174"/>
    <w:rsid w:val="001A605E"/>
    <w:rsid w:val="001A61A0"/>
    <w:rsid w:val="001A628F"/>
    <w:rsid w:val="001A678E"/>
    <w:rsid w:val="001A6ADA"/>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6F9C"/>
    <w:rsid w:val="001B70CF"/>
    <w:rsid w:val="001B716B"/>
    <w:rsid w:val="001B748B"/>
    <w:rsid w:val="001C002C"/>
    <w:rsid w:val="001C0085"/>
    <w:rsid w:val="001C04E1"/>
    <w:rsid w:val="001C063F"/>
    <w:rsid w:val="001C0883"/>
    <w:rsid w:val="001C1308"/>
    <w:rsid w:val="001C16A9"/>
    <w:rsid w:val="001C1E53"/>
    <w:rsid w:val="001C1EE0"/>
    <w:rsid w:val="001C211D"/>
    <w:rsid w:val="001C25C6"/>
    <w:rsid w:val="001C2E60"/>
    <w:rsid w:val="001C33A7"/>
    <w:rsid w:val="001C3474"/>
    <w:rsid w:val="001C3B02"/>
    <w:rsid w:val="001C3DC6"/>
    <w:rsid w:val="001C3EAE"/>
    <w:rsid w:val="001C4B27"/>
    <w:rsid w:val="001C4F5F"/>
    <w:rsid w:val="001C518A"/>
    <w:rsid w:val="001C589B"/>
    <w:rsid w:val="001C58A6"/>
    <w:rsid w:val="001C5F88"/>
    <w:rsid w:val="001C619C"/>
    <w:rsid w:val="001C7185"/>
    <w:rsid w:val="001C7AB6"/>
    <w:rsid w:val="001C7F47"/>
    <w:rsid w:val="001D006C"/>
    <w:rsid w:val="001D0578"/>
    <w:rsid w:val="001D0593"/>
    <w:rsid w:val="001D1231"/>
    <w:rsid w:val="001D1258"/>
    <w:rsid w:val="001D13B0"/>
    <w:rsid w:val="001D14E6"/>
    <w:rsid w:val="001D19F8"/>
    <w:rsid w:val="001D1CFF"/>
    <w:rsid w:val="001D1FD5"/>
    <w:rsid w:val="001D2B3C"/>
    <w:rsid w:val="001D2BB2"/>
    <w:rsid w:val="001D2C56"/>
    <w:rsid w:val="001D2E6C"/>
    <w:rsid w:val="001D2ECD"/>
    <w:rsid w:val="001D329E"/>
    <w:rsid w:val="001D3896"/>
    <w:rsid w:val="001D3A46"/>
    <w:rsid w:val="001D3C68"/>
    <w:rsid w:val="001D4315"/>
    <w:rsid w:val="001D43C0"/>
    <w:rsid w:val="001D4834"/>
    <w:rsid w:val="001D4969"/>
    <w:rsid w:val="001D4AF0"/>
    <w:rsid w:val="001D4B8E"/>
    <w:rsid w:val="001D4F24"/>
    <w:rsid w:val="001D506F"/>
    <w:rsid w:val="001D57BC"/>
    <w:rsid w:val="001D5B3C"/>
    <w:rsid w:val="001D6E61"/>
    <w:rsid w:val="001D6F0A"/>
    <w:rsid w:val="001D6F30"/>
    <w:rsid w:val="001D7260"/>
    <w:rsid w:val="001D7816"/>
    <w:rsid w:val="001D79D8"/>
    <w:rsid w:val="001D7B96"/>
    <w:rsid w:val="001D7FE2"/>
    <w:rsid w:val="001E03E3"/>
    <w:rsid w:val="001E09F4"/>
    <w:rsid w:val="001E0A73"/>
    <w:rsid w:val="001E111F"/>
    <w:rsid w:val="001E1284"/>
    <w:rsid w:val="001E13E0"/>
    <w:rsid w:val="001E1524"/>
    <w:rsid w:val="001E19CF"/>
    <w:rsid w:val="001E1D3C"/>
    <w:rsid w:val="001E220A"/>
    <w:rsid w:val="001E251E"/>
    <w:rsid w:val="001E266E"/>
    <w:rsid w:val="001E27D0"/>
    <w:rsid w:val="001E2829"/>
    <w:rsid w:val="001E2EEF"/>
    <w:rsid w:val="001E3188"/>
    <w:rsid w:val="001E31D1"/>
    <w:rsid w:val="001E32BE"/>
    <w:rsid w:val="001E3850"/>
    <w:rsid w:val="001E3A45"/>
    <w:rsid w:val="001E3DC9"/>
    <w:rsid w:val="001E41BA"/>
    <w:rsid w:val="001E420B"/>
    <w:rsid w:val="001E4583"/>
    <w:rsid w:val="001E4704"/>
    <w:rsid w:val="001E49F2"/>
    <w:rsid w:val="001E4FCE"/>
    <w:rsid w:val="001E50CB"/>
    <w:rsid w:val="001E510C"/>
    <w:rsid w:val="001E5BB2"/>
    <w:rsid w:val="001E5D1F"/>
    <w:rsid w:val="001E62B5"/>
    <w:rsid w:val="001E6382"/>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080"/>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0CC"/>
    <w:rsid w:val="001F7317"/>
    <w:rsid w:val="001F798D"/>
    <w:rsid w:val="001F7DD6"/>
    <w:rsid w:val="002000F2"/>
    <w:rsid w:val="002000FC"/>
    <w:rsid w:val="00200A92"/>
    <w:rsid w:val="00200BF9"/>
    <w:rsid w:val="0020176C"/>
    <w:rsid w:val="00201C7E"/>
    <w:rsid w:val="00201D85"/>
    <w:rsid w:val="00202201"/>
    <w:rsid w:val="00202D2E"/>
    <w:rsid w:val="00203053"/>
    <w:rsid w:val="00203159"/>
    <w:rsid w:val="00203A6E"/>
    <w:rsid w:val="00203F00"/>
    <w:rsid w:val="00203F5C"/>
    <w:rsid w:val="002042EA"/>
    <w:rsid w:val="002047DE"/>
    <w:rsid w:val="00204A5A"/>
    <w:rsid w:val="00204C12"/>
    <w:rsid w:val="00205089"/>
    <w:rsid w:val="002053F7"/>
    <w:rsid w:val="00205635"/>
    <w:rsid w:val="002058DC"/>
    <w:rsid w:val="00205AB2"/>
    <w:rsid w:val="00205CB2"/>
    <w:rsid w:val="002060D6"/>
    <w:rsid w:val="0020610B"/>
    <w:rsid w:val="00206133"/>
    <w:rsid w:val="002063A7"/>
    <w:rsid w:val="0020674D"/>
    <w:rsid w:val="00206799"/>
    <w:rsid w:val="00206E5A"/>
    <w:rsid w:val="00207613"/>
    <w:rsid w:val="00207847"/>
    <w:rsid w:val="00207AF9"/>
    <w:rsid w:val="00207BB9"/>
    <w:rsid w:val="00207EB6"/>
    <w:rsid w:val="00210018"/>
    <w:rsid w:val="00210174"/>
    <w:rsid w:val="002109C4"/>
    <w:rsid w:val="002109D5"/>
    <w:rsid w:val="00210A2E"/>
    <w:rsid w:val="00210C84"/>
    <w:rsid w:val="00210C91"/>
    <w:rsid w:val="00210F42"/>
    <w:rsid w:val="00211042"/>
    <w:rsid w:val="002112C0"/>
    <w:rsid w:val="00211345"/>
    <w:rsid w:val="00211390"/>
    <w:rsid w:val="002114FA"/>
    <w:rsid w:val="0021157E"/>
    <w:rsid w:val="00211730"/>
    <w:rsid w:val="00211D31"/>
    <w:rsid w:val="00211DD9"/>
    <w:rsid w:val="002125B4"/>
    <w:rsid w:val="00212816"/>
    <w:rsid w:val="0021281B"/>
    <w:rsid w:val="0021285F"/>
    <w:rsid w:val="00212D30"/>
    <w:rsid w:val="002130BD"/>
    <w:rsid w:val="00213161"/>
    <w:rsid w:val="00213851"/>
    <w:rsid w:val="00214E0D"/>
    <w:rsid w:val="00214FB9"/>
    <w:rsid w:val="0021586D"/>
    <w:rsid w:val="00215BB3"/>
    <w:rsid w:val="00216286"/>
    <w:rsid w:val="002162EA"/>
    <w:rsid w:val="002165F9"/>
    <w:rsid w:val="00216685"/>
    <w:rsid w:val="00216948"/>
    <w:rsid w:val="00216B17"/>
    <w:rsid w:val="00216BBF"/>
    <w:rsid w:val="00217135"/>
    <w:rsid w:val="0021737B"/>
    <w:rsid w:val="0021759C"/>
    <w:rsid w:val="00217CE8"/>
    <w:rsid w:val="00217D32"/>
    <w:rsid w:val="002202EC"/>
    <w:rsid w:val="002204ED"/>
    <w:rsid w:val="00220E92"/>
    <w:rsid w:val="002211DD"/>
    <w:rsid w:val="0022135D"/>
    <w:rsid w:val="0022193F"/>
    <w:rsid w:val="0022226B"/>
    <w:rsid w:val="002222A4"/>
    <w:rsid w:val="0022337A"/>
    <w:rsid w:val="00223833"/>
    <w:rsid w:val="00223ACD"/>
    <w:rsid w:val="00223ADC"/>
    <w:rsid w:val="00223F34"/>
    <w:rsid w:val="002241C9"/>
    <w:rsid w:val="00224393"/>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1F6"/>
    <w:rsid w:val="00236AAC"/>
    <w:rsid w:val="00236F55"/>
    <w:rsid w:val="00236F71"/>
    <w:rsid w:val="002373FC"/>
    <w:rsid w:val="0023776F"/>
    <w:rsid w:val="00237C6F"/>
    <w:rsid w:val="00237D22"/>
    <w:rsid w:val="00240478"/>
    <w:rsid w:val="00240B7D"/>
    <w:rsid w:val="00240BE4"/>
    <w:rsid w:val="00240BFE"/>
    <w:rsid w:val="00240F76"/>
    <w:rsid w:val="0024103F"/>
    <w:rsid w:val="0024174E"/>
    <w:rsid w:val="00241C7B"/>
    <w:rsid w:val="00241FA4"/>
    <w:rsid w:val="002421F2"/>
    <w:rsid w:val="00242B2A"/>
    <w:rsid w:val="00242BC5"/>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691"/>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738"/>
    <w:rsid w:val="0027193C"/>
    <w:rsid w:val="00271B1E"/>
    <w:rsid w:val="00271EEF"/>
    <w:rsid w:val="0027242C"/>
    <w:rsid w:val="00272474"/>
    <w:rsid w:val="002725C1"/>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3FAC"/>
    <w:rsid w:val="00284E7F"/>
    <w:rsid w:val="00285520"/>
    <w:rsid w:val="00285894"/>
    <w:rsid w:val="00285E28"/>
    <w:rsid w:val="00286487"/>
    <w:rsid w:val="00286631"/>
    <w:rsid w:val="00286B14"/>
    <w:rsid w:val="00286F76"/>
    <w:rsid w:val="00287376"/>
    <w:rsid w:val="002877DE"/>
    <w:rsid w:val="00287C28"/>
    <w:rsid w:val="00290254"/>
    <w:rsid w:val="00290505"/>
    <w:rsid w:val="0029053D"/>
    <w:rsid w:val="002914C6"/>
    <w:rsid w:val="0029178F"/>
    <w:rsid w:val="00291B01"/>
    <w:rsid w:val="00293238"/>
    <w:rsid w:val="002933F5"/>
    <w:rsid w:val="00293504"/>
    <w:rsid w:val="0029416D"/>
    <w:rsid w:val="002944CA"/>
    <w:rsid w:val="00294722"/>
    <w:rsid w:val="00294AB1"/>
    <w:rsid w:val="00295226"/>
    <w:rsid w:val="0029548C"/>
    <w:rsid w:val="00295539"/>
    <w:rsid w:val="00295874"/>
    <w:rsid w:val="00295F08"/>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6D6C"/>
    <w:rsid w:val="002A732C"/>
    <w:rsid w:val="002A7A6A"/>
    <w:rsid w:val="002A7AB4"/>
    <w:rsid w:val="002A7B72"/>
    <w:rsid w:val="002B05BE"/>
    <w:rsid w:val="002B07BF"/>
    <w:rsid w:val="002B0805"/>
    <w:rsid w:val="002B0B01"/>
    <w:rsid w:val="002B0C99"/>
    <w:rsid w:val="002B0EDA"/>
    <w:rsid w:val="002B10F9"/>
    <w:rsid w:val="002B1773"/>
    <w:rsid w:val="002B21D6"/>
    <w:rsid w:val="002B2C92"/>
    <w:rsid w:val="002B2F85"/>
    <w:rsid w:val="002B3081"/>
    <w:rsid w:val="002B318B"/>
    <w:rsid w:val="002B32BC"/>
    <w:rsid w:val="002B340B"/>
    <w:rsid w:val="002B34AE"/>
    <w:rsid w:val="002B3CCC"/>
    <w:rsid w:val="002B3D90"/>
    <w:rsid w:val="002B4923"/>
    <w:rsid w:val="002B4C39"/>
    <w:rsid w:val="002B57D2"/>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4985"/>
    <w:rsid w:val="002C5533"/>
    <w:rsid w:val="002C5620"/>
    <w:rsid w:val="002C5A6B"/>
    <w:rsid w:val="002C61E0"/>
    <w:rsid w:val="002C773A"/>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743"/>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AA9"/>
    <w:rsid w:val="002E5BDD"/>
    <w:rsid w:val="002E5C56"/>
    <w:rsid w:val="002E5FE6"/>
    <w:rsid w:val="002E6365"/>
    <w:rsid w:val="002E679D"/>
    <w:rsid w:val="002E7321"/>
    <w:rsid w:val="002E7894"/>
    <w:rsid w:val="002F0045"/>
    <w:rsid w:val="002F00F0"/>
    <w:rsid w:val="002F025B"/>
    <w:rsid w:val="002F0684"/>
    <w:rsid w:val="002F0ADB"/>
    <w:rsid w:val="002F1010"/>
    <w:rsid w:val="002F1040"/>
    <w:rsid w:val="002F168A"/>
    <w:rsid w:val="002F2AE0"/>
    <w:rsid w:val="002F381D"/>
    <w:rsid w:val="002F3ECA"/>
    <w:rsid w:val="002F3F16"/>
    <w:rsid w:val="002F413F"/>
    <w:rsid w:val="002F44AD"/>
    <w:rsid w:val="002F45D3"/>
    <w:rsid w:val="002F4934"/>
    <w:rsid w:val="002F4A52"/>
    <w:rsid w:val="002F4CF5"/>
    <w:rsid w:val="002F4FC5"/>
    <w:rsid w:val="002F52D1"/>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86C"/>
    <w:rsid w:val="00301B65"/>
    <w:rsid w:val="00301EE4"/>
    <w:rsid w:val="003024AF"/>
    <w:rsid w:val="003024DE"/>
    <w:rsid w:val="00302701"/>
    <w:rsid w:val="00302715"/>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9AE"/>
    <w:rsid w:val="00313C4F"/>
    <w:rsid w:val="003141C2"/>
    <w:rsid w:val="00314629"/>
    <w:rsid w:val="00314D84"/>
    <w:rsid w:val="0031599D"/>
    <w:rsid w:val="00315F72"/>
    <w:rsid w:val="00316072"/>
    <w:rsid w:val="00316265"/>
    <w:rsid w:val="00316C58"/>
    <w:rsid w:val="00316E46"/>
    <w:rsid w:val="00317050"/>
    <w:rsid w:val="00317377"/>
    <w:rsid w:val="00317884"/>
    <w:rsid w:val="003200D5"/>
    <w:rsid w:val="003204D4"/>
    <w:rsid w:val="00320B1B"/>
    <w:rsid w:val="003213DA"/>
    <w:rsid w:val="0032172E"/>
    <w:rsid w:val="00321822"/>
    <w:rsid w:val="00321B02"/>
    <w:rsid w:val="00322125"/>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3"/>
    <w:rsid w:val="00330DE8"/>
    <w:rsid w:val="00331BCC"/>
    <w:rsid w:val="003321C3"/>
    <w:rsid w:val="00332744"/>
    <w:rsid w:val="00332962"/>
    <w:rsid w:val="00333331"/>
    <w:rsid w:val="00333752"/>
    <w:rsid w:val="00333D1C"/>
    <w:rsid w:val="00335250"/>
    <w:rsid w:val="0033592C"/>
    <w:rsid w:val="00335A7C"/>
    <w:rsid w:val="00335E2A"/>
    <w:rsid w:val="00336225"/>
    <w:rsid w:val="00336780"/>
    <w:rsid w:val="003367C5"/>
    <w:rsid w:val="003370D3"/>
    <w:rsid w:val="00337C71"/>
    <w:rsid w:val="00340E16"/>
    <w:rsid w:val="00340E58"/>
    <w:rsid w:val="00341087"/>
    <w:rsid w:val="003415E9"/>
    <w:rsid w:val="00341CDF"/>
    <w:rsid w:val="003421F6"/>
    <w:rsid w:val="0034243C"/>
    <w:rsid w:val="0034246D"/>
    <w:rsid w:val="003426DE"/>
    <w:rsid w:val="00342DF8"/>
    <w:rsid w:val="0034305B"/>
    <w:rsid w:val="003430E0"/>
    <w:rsid w:val="00343752"/>
    <w:rsid w:val="00343C24"/>
    <w:rsid w:val="00343FB1"/>
    <w:rsid w:val="00344725"/>
    <w:rsid w:val="0034511B"/>
    <w:rsid w:val="0034605D"/>
    <w:rsid w:val="003471DC"/>
    <w:rsid w:val="0034745C"/>
    <w:rsid w:val="003474F2"/>
    <w:rsid w:val="00347BC5"/>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8D3"/>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646"/>
    <w:rsid w:val="003646D9"/>
    <w:rsid w:val="00364A63"/>
    <w:rsid w:val="0036567B"/>
    <w:rsid w:val="00367D2F"/>
    <w:rsid w:val="003700A7"/>
    <w:rsid w:val="00370285"/>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8A5"/>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9E9"/>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42BB"/>
    <w:rsid w:val="003A4411"/>
    <w:rsid w:val="003A45FB"/>
    <w:rsid w:val="003A48FC"/>
    <w:rsid w:val="003A49BE"/>
    <w:rsid w:val="003A4E82"/>
    <w:rsid w:val="003A590E"/>
    <w:rsid w:val="003A6330"/>
    <w:rsid w:val="003A646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546"/>
    <w:rsid w:val="003D09DA"/>
    <w:rsid w:val="003D0A97"/>
    <w:rsid w:val="003D0B63"/>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7D"/>
    <w:rsid w:val="003E0ADB"/>
    <w:rsid w:val="003E0CE4"/>
    <w:rsid w:val="003E1304"/>
    <w:rsid w:val="003E14C2"/>
    <w:rsid w:val="003E1748"/>
    <w:rsid w:val="003E1C39"/>
    <w:rsid w:val="003E1CF4"/>
    <w:rsid w:val="003E240A"/>
    <w:rsid w:val="003E2BF4"/>
    <w:rsid w:val="003E3265"/>
    <w:rsid w:val="003E34E1"/>
    <w:rsid w:val="003E3524"/>
    <w:rsid w:val="003E3C5B"/>
    <w:rsid w:val="003E3D11"/>
    <w:rsid w:val="003E3F28"/>
    <w:rsid w:val="003E40C9"/>
    <w:rsid w:val="003E4A25"/>
    <w:rsid w:val="003E4CDB"/>
    <w:rsid w:val="003E52EB"/>
    <w:rsid w:val="003E53D7"/>
    <w:rsid w:val="003E62BB"/>
    <w:rsid w:val="003E6592"/>
    <w:rsid w:val="003E697A"/>
    <w:rsid w:val="003E6AEE"/>
    <w:rsid w:val="003E6F27"/>
    <w:rsid w:val="003E703E"/>
    <w:rsid w:val="003E73BC"/>
    <w:rsid w:val="003E7A07"/>
    <w:rsid w:val="003F0563"/>
    <w:rsid w:val="003F0656"/>
    <w:rsid w:val="003F0905"/>
    <w:rsid w:val="003F16E1"/>
    <w:rsid w:val="003F1992"/>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110"/>
    <w:rsid w:val="004024AB"/>
    <w:rsid w:val="00402F2C"/>
    <w:rsid w:val="00402F5C"/>
    <w:rsid w:val="0040303D"/>
    <w:rsid w:val="0040379F"/>
    <w:rsid w:val="00403805"/>
    <w:rsid w:val="00403824"/>
    <w:rsid w:val="00403F25"/>
    <w:rsid w:val="0040495B"/>
    <w:rsid w:val="00404AE9"/>
    <w:rsid w:val="00405194"/>
    <w:rsid w:val="00405898"/>
    <w:rsid w:val="00405D95"/>
    <w:rsid w:val="00405F90"/>
    <w:rsid w:val="00406108"/>
    <w:rsid w:val="00406412"/>
    <w:rsid w:val="004067E4"/>
    <w:rsid w:val="00406F4B"/>
    <w:rsid w:val="00406FBD"/>
    <w:rsid w:val="004073B0"/>
    <w:rsid w:val="00407612"/>
    <w:rsid w:val="00407A66"/>
    <w:rsid w:val="00407C9E"/>
    <w:rsid w:val="0041029D"/>
    <w:rsid w:val="00410534"/>
    <w:rsid w:val="00410E31"/>
    <w:rsid w:val="00411230"/>
    <w:rsid w:val="004113EB"/>
    <w:rsid w:val="004118C9"/>
    <w:rsid w:val="0041195D"/>
    <w:rsid w:val="00412697"/>
    <w:rsid w:val="00412F8D"/>
    <w:rsid w:val="00412FE8"/>
    <w:rsid w:val="00413369"/>
    <w:rsid w:val="00413451"/>
    <w:rsid w:val="00413ED7"/>
    <w:rsid w:val="00414129"/>
    <w:rsid w:val="004145AE"/>
    <w:rsid w:val="0041577E"/>
    <w:rsid w:val="004157F6"/>
    <w:rsid w:val="004159D3"/>
    <w:rsid w:val="00415A14"/>
    <w:rsid w:val="00415D63"/>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8F"/>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3F"/>
    <w:rsid w:val="00434D46"/>
    <w:rsid w:val="00435248"/>
    <w:rsid w:val="004353C1"/>
    <w:rsid w:val="0043542F"/>
    <w:rsid w:val="004355EB"/>
    <w:rsid w:val="00435602"/>
    <w:rsid w:val="004356FA"/>
    <w:rsid w:val="00435CCF"/>
    <w:rsid w:val="00436A3B"/>
    <w:rsid w:val="00437027"/>
    <w:rsid w:val="004371AB"/>
    <w:rsid w:val="004375F2"/>
    <w:rsid w:val="004402A7"/>
    <w:rsid w:val="0044035D"/>
    <w:rsid w:val="00440EA5"/>
    <w:rsid w:val="0044131C"/>
    <w:rsid w:val="0044142F"/>
    <w:rsid w:val="004417B9"/>
    <w:rsid w:val="004425C2"/>
    <w:rsid w:val="00442649"/>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35E"/>
    <w:rsid w:val="004518D5"/>
    <w:rsid w:val="004519BF"/>
    <w:rsid w:val="00451B06"/>
    <w:rsid w:val="00451BEB"/>
    <w:rsid w:val="00451CFE"/>
    <w:rsid w:val="004527C0"/>
    <w:rsid w:val="00453871"/>
    <w:rsid w:val="00453CC5"/>
    <w:rsid w:val="00453DEF"/>
    <w:rsid w:val="004543E4"/>
    <w:rsid w:val="00454478"/>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9A9"/>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D11"/>
    <w:rsid w:val="00483D20"/>
    <w:rsid w:val="00484048"/>
    <w:rsid w:val="0048406D"/>
    <w:rsid w:val="0048410E"/>
    <w:rsid w:val="0048438A"/>
    <w:rsid w:val="00484C46"/>
    <w:rsid w:val="0048544A"/>
    <w:rsid w:val="004857F9"/>
    <w:rsid w:val="00485969"/>
    <w:rsid w:val="0048598C"/>
    <w:rsid w:val="00485E8A"/>
    <w:rsid w:val="00486094"/>
    <w:rsid w:val="0048620B"/>
    <w:rsid w:val="004862DE"/>
    <w:rsid w:val="00486355"/>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6E6"/>
    <w:rsid w:val="00493750"/>
    <w:rsid w:val="00493D08"/>
    <w:rsid w:val="00494E75"/>
    <w:rsid w:val="00495071"/>
    <w:rsid w:val="00495227"/>
    <w:rsid w:val="00495E54"/>
    <w:rsid w:val="004961DB"/>
    <w:rsid w:val="0049653E"/>
    <w:rsid w:val="00496BEF"/>
    <w:rsid w:val="0049792C"/>
    <w:rsid w:val="004A01E1"/>
    <w:rsid w:val="004A046D"/>
    <w:rsid w:val="004A0B9B"/>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AFA"/>
    <w:rsid w:val="004A4247"/>
    <w:rsid w:val="004A4635"/>
    <w:rsid w:val="004A4900"/>
    <w:rsid w:val="004A4D38"/>
    <w:rsid w:val="004A4E7E"/>
    <w:rsid w:val="004A4E95"/>
    <w:rsid w:val="004A5270"/>
    <w:rsid w:val="004A5667"/>
    <w:rsid w:val="004A57FC"/>
    <w:rsid w:val="004A6C10"/>
    <w:rsid w:val="004A705C"/>
    <w:rsid w:val="004A717D"/>
    <w:rsid w:val="004A7276"/>
    <w:rsid w:val="004A785E"/>
    <w:rsid w:val="004A7EE7"/>
    <w:rsid w:val="004A7FB0"/>
    <w:rsid w:val="004B028A"/>
    <w:rsid w:val="004B0494"/>
    <w:rsid w:val="004B0706"/>
    <w:rsid w:val="004B0787"/>
    <w:rsid w:val="004B1313"/>
    <w:rsid w:val="004B169E"/>
    <w:rsid w:val="004B1B53"/>
    <w:rsid w:val="004B1C42"/>
    <w:rsid w:val="004B25BB"/>
    <w:rsid w:val="004B2700"/>
    <w:rsid w:val="004B2A7B"/>
    <w:rsid w:val="004B2B31"/>
    <w:rsid w:val="004B2C33"/>
    <w:rsid w:val="004B2CDB"/>
    <w:rsid w:val="004B3AAC"/>
    <w:rsid w:val="004B3C3F"/>
    <w:rsid w:val="004B3F17"/>
    <w:rsid w:val="004B3FAD"/>
    <w:rsid w:val="004B45A2"/>
    <w:rsid w:val="004B4A0F"/>
    <w:rsid w:val="004B4AA2"/>
    <w:rsid w:val="004B4C67"/>
    <w:rsid w:val="004B50E0"/>
    <w:rsid w:val="004B55EC"/>
    <w:rsid w:val="004B6301"/>
    <w:rsid w:val="004B6FFB"/>
    <w:rsid w:val="004B795F"/>
    <w:rsid w:val="004B7BA5"/>
    <w:rsid w:val="004B7E5E"/>
    <w:rsid w:val="004B7FCC"/>
    <w:rsid w:val="004C0346"/>
    <w:rsid w:val="004C03CC"/>
    <w:rsid w:val="004C0629"/>
    <w:rsid w:val="004C0B5B"/>
    <w:rsid w:val="004C0D9A"/>
    <w:rsid w:val="004C0F99"/>
    <w:rsid w:val="004C130D"/>
    <w:rsid w:val="004C1624"/>
    <w:rsid w:val="004C2371"/>
    <w:rsid w:val="004C2C4E"/>
    <w:rsid w:val="004C2F01"/>
    <w:rsid w:val="004C3472"/>
    <w:rsid w:val="004C34A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039"/>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D7D37"/>
    <w:rsid w:val="004E0033"/>
    <w:rsid w:val="004E03BE"/>
    <w:rsid w:val="004E0C7E"/>
    <w:rsid w:val="004E0CD0"/>
    <w:rsid w:val="004E0ECF"/>
    <w:rsid w:val="004E1260"/>
    <w:rsid w:val="004E1CBB"/>
    <w:rsid w:val="004E1D07"/>
    <w:rsid w:val="004E209D"/>
    <w:rsid w:val="004E21D3"/>
    <w:rsid w:val="004E2C41"/>
    <w:rsid w:val="004E2E33"/>
    <w:rsid w:val="004E2F51"/>
    <w:rsid w:val="004E2F60"/>
    <w:rsid w:val="004E3579"/>
    <w:rsid w:val="004E3892"/>
    <w:rsid w:val="004E3B13"/>
    <w:rsid w:val="004E3FD8"/>
    <w:rsid w:val="004E458C"/>
    <w:rsid w:val="004E471C"/>
    <w:rsid w:val="004E47C4"/>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51"/>
    <w:rsid w:val="004F0FDC"/>
    <w:rsid w:val="004F133C"/>
    <w:rsid w:val="004F13D2"/>
    <w:rsid w:val="004F13F7"/>
    <w:rsid w:val="004F1A00"/>
    <w:rsid w:val="004F1D32"/>
    <w:rsid w:val="004F23CC"/>
    <w:rsid w:val="004F2602"/>
    <w:rsid w:val="004F2826"/>
    <w:rsid w:val="004F2AA6"/>
    <w:rsid w:val="004F2B9C"/>
    <w:rsid w:val="004F2CCE"/>
    <w:rsid w:val="004F2D47"/>
    <w:rsid w:val="004F33A9"/>
    <w:rsid w:val="004F359A"/>
    <w:rsid w:val="004F3DD1"/>
    <w:rsid w:val="004F40E9"/>
    <w:rsid w:val="004F40F1"/>
    <w:rsid w:val="004F4760"/>
    <w:rsid w:val="004F4E53"/>
    <w:rsid w:val="004F580E"/>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7E0"/>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0C12"/>
    <w:rsid w:val="00511E67"/>
    <w:rsid w:val="00512605"/>
    <w:rsid w:val="00512747"/>
    <w:rsid w:val="00513F8F"/>
    <w:rsid w:val="00514455"/>
    <w:rsid w:val="005147E7"/>
    <w:rsid w:val="00514882"/>
    <w:rsid w:val="005149A2"/>
    <w:rsid w:val="00514CEE"/>
    <w:rsid w:val="005150E4"/>
    <w:rsid w:val="00515179"/>
    <w:rsid w:val="00515907"/>
    <w:rsid w:val="00515A63"/>
    <w:rsid w:val="00515E2B"/>
    <w:rsid w:val="00516B96"/>
    <w:rsid w:val="005173A4"/>
    <w:rsid w:val="0051770E"/>
    <w:rsid w:val="00517B4D"/>
    <w:rsid w:val="0052001B"/>
    <w:rsid w:val="005205C8"/>
    <w:rsid w:val="00521D65"/>
    <w:rsid w:val="00521E8B"/>
    <w:rsid w:val="00521FD8"/>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6E97"/>
    <w:rsid w:val="005370B9"/>
    <w:rsid w:val="00537BE9"/>
    <w:rsid w:val="00537E22"/>
    <w:rsid w:val="00540147"/>
    <w:rsid w:val="00540C07"/>
    <w:rsid w:val="00540EB6"/>
    <w:rsid w:val="005417A0"/>
    <w:rsid w:val="00541E2B"/>
    <w:rsid w:val="00542AAF"/>
    <w:rsid w:val="00542E5A"/>
    <w:rsid w:val="005436D7"/>
    <w:rsid w:val="00543703"/>
    <w:rsid w:val="00543957"/>
    <w:rsid w:val="00543A66"/>
    <w:rsid w:val="00543A83"/>
    <w:rsid w:val="00543C9A"/>
    <w:rsid w:val="005440BC"/>
    <w:rsid w:val="00544220"/>
    <w:rsid w:val="005444D2"/>
    <w:rsid w:val="00544C33"/>
    <w:rsid w:val="0054556F"/>
    <w:rsid w:val="00545AD8"/>
    <w:rsid w:val="00545C3D"/>
    <w:rsid w:val="00545E6A"/>
    <w:rsid w:val="0054603E"/>
    <w:rsid w:val="00546310"/>
    <w:rsid w:val="00546434"/>
    <w:rsid w:val="00546738"/>
    <w:rsid w:val="005467D6"/>
    <w:rsid w:val="00546942"/>
    <w:rsid w:val="00547123"/>
    <w:rsid w:val="005504D9"/>
    <w:rsid w:val="00550C80"/>
    <w:rsid w:val="00550D6F"/>
    <w:rsid w:val="00550E94"/>
    <w:rsid w:val="005511B1"/>
    <w:rsid w:val="005511C0"/>
    <w:rsid w:val="00551E1E"/>
    <w:rsid w:val="00551E52"/>
    <w:rsid w:val="00552038"/>
    <w:rsid w:val="0055233E"/>
    <w:rsid w:val="00552569"/>
    <w:rsid w:val="005526F2"/>
    <w:rsid w:val="00552955"/>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C24"/>
    <w:rsid w:val="00561E4A"/>
    <w:rsid w:val="00562CDC"/>
    <w:rsid w:val="00563855"/>
    <w:rsid w:val="00563EE1"/>
    <w:rsid w:val="00563FD2"/>
    <w:rsid w:val="005640D0"/>
    <w:rsid w:val="0056434D"/>
    <w:rsid w:val="00565679"/>
    <w:rsid w:val="005657D5"/>
    <w:rsid w:val="00565A5D"/>
    <w:rsid w:val="0056719E"/>
    <w:rsid w:val="005701C5"/>
    <w:rsid w:val="005703E3"/>
    <w:rsid w:val="0057054C"/>
    <w:rsid w:val="005706C1"/>
    <w:rsid w:val="00570825"/>
    <w:rsid w:val="005708C3"/>
    <w:rsid w:val="005708C6"/>
    <w:rsid w:val="00570C83"/>
    <w:rsid w:val="00571358"/>
    <w:rsid w:val="00571382"/>
    <w:rsid w:val="00572583"/>
    <w:rsid w:val="00572643"/>
    <w:rsid w:val="005728B4"/>
    <w:rsid w:val="00572E58"/>
    <w:rsid w:val="00572F26"/>
    <w:rsid w:val="005730FF"/>
    <w:rsid w:val="0057380A"/>
    <w:rsid w:val="00573948"/>
    <w:rsid w:val="00573BB0"/>
    <w:rsid w:val="00573D2B"/>
    <w:rsid w:val="00573F24"/>
    <w:rsid w:val="00574167"/>
    <w:rsid w:val="00574886"/>
    <w:rsid w:val="00574B86"/>
    <w:rsid w:val="00574DAA"/>
    <w:rsid w:val="005753DB"/>
    <w:rsid w:val="005758BA"/>
    <w:rsid w:val="005759CE"/>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4AC4"/>
    <w:rsid w:val="00584FB2"/>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24B"/>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46B"/>
    <w:rsid w:val="005C0625"/>
    <w:rsid w:val="005C0904"/>
    <w:rsid w:val="005C09BF"/>
    <w:rsid w:val="005C0D61"/>
    <w:rsid w:val="005C0DDE"/>
    <w:rsid w:val="005C0E1C"/>
    <w:rsid w:val="005C11DA"/>
    <w:rsid w:val="005C1225"/>
    <w:rsid w:val="005C132F"/>
    <w:rsid w:val="005C14CC"/>
    <w:rsid w:val="005C1752"/>
    <w:rsid w:val="005C1EC3"/>
    <w:rsid w:val="005C2144"/>
    <w:rsid w:val="005C2854"/>
    <w:rsid w:val="005C3000"/>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CAC"/>
    <w:rsid w:val="005D7E04"/>
    <w:rsid w:val="005E0082"/>
    <w:rsid w:val="005E033D"/>
    <w:rsid w:val="005E040C"/>
    <w:rsid w:val="005E095F"/>
    <w:rsid w:val="005E1385"/>
    <w:rsid w:val="005E1393"/>
    <w:rsid w:val="005E1A58"/>
    <w:rsid w:val="005E1C06"/>
    <w:rsid w:val="005E2E2C"/>
    <w:rsid w:val="005E35FD"/>
    <w:rsid w:val="005E383F"/>
    <w:rsid w:val="005E48F7"/>
    <w:rsid w:val="005E4F80"/>
    <w:rsid w:val="005E4FBD"/>
    <w:rsid w:val="005E5009"/>
    <w:rsid w:val="005E5119"/>
    <w:rsid w:val="005E5563"/>
    <w:rsid w:val="005E580A"/>
    <w:rsid w:val="005E5C9C"/>
    <w:rsid w:val="005E610E"/>
    <w:rsid w:val="005E66F1"/>
    <w:rsid w:val="005E6888"/>
    <w:rsid w:val="005E6AFB"/>
    <w:rsid w:val="005E6C58"/>
    <w:rsid w:val="005E725F"/>
    <w:rsid w:val="005E7698"/>
    <w:rsid w:val="005E7B32"/>
    <w:rsid w:val="005F031E"/>
    <w:rsid w:val="005F04BC"/>
    <w:rsid w:val="005F0863"/>
    <w:rsid w:val="005F0B4C"/>
    <w:rsid w:val="005F0B53"/>
    <w:rsid w:val="005F0C46"/>
    <w:rsid w:val="005F0FE8"/>
    <w:rsid w:val="005F1ECC"/>
    <w:rsid w:val="005F1F6F"/>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2F4"/>
    <w:rsid w:val="0060144E"/>
    <w:rsid w:val="00601754"/>
    <w:rsid w:val="00601D4D"/>
    <w:rsid w:val="00601FCD"/>
    <w:rsid w:val="00602276"/>
    <w:rsid w:val="00602354"/>
    <w:rsid w:val="0060254B"/>
    <w:rsid w:val="00602613"/>
    <w:rsid w:val="0060268D"/>
    <w:rsid w:val="0060367A"/>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6900"/>
    <w:rsid w:val="00607039"/>
    <w:rsid w:val="006071F1"/>
    <w:rsid w:val="006074B1"/>
    <w:rsid w:val="006079CA"/>
    <w:rsid w:val="006079D8"/>
    <w:rsid w:val="00607ADE"/>
    <w:rsid w:val="00607E68"/>
    <w:rsid w:val="006102C6"/>
    <w:rsid w:val="006103F0"/>
    <w:rsid w:val="006113A9"/>
    <w:rsid w:val="00611ACE"/>
    <w:rsid w:val="006126DA"/>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198"/>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0CFC"/>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178"/>
    <w:rsid w:val="0063681F"/>
    <w:rsid w:val="00636A76"/>
    <w:rsid w:val="006373C7"/>
    <w:rsid w:val="006374F0"/>
    <w:rsid w:val="00637E00"/>
    <w:rsid w:val="006401C6"/>
    <w:rsid w:val="006401E3"/>
    <w:rsid w:val="00640207"/>
    <w:rsid w:val="00640222"/>
    <w:rsid w:val="00640529"/>
    <w:rsid w:val="006409F3"/>
    <w:rsid w:val="00640CA1"/>
    <w:rsid w:val="00641061"/>
    <w:rsid w:val="006416A3"/>
    <w:rsid w:val="006419ED"/>
    <w:rsid w:val="00642D10"/>
    <w:rsid w:val="00643769"/>
    <w:rsid w:val="006437A9"/>
    <w:rsid w:val="00643973"/>
    <w:rsid w:val="00643CED"/>
    <w:rsid w:val="00644200"/>
    <w:rsid w:val="0064428B"/>
    <w:rsid w:val="00644511"/>
    <w:rsid w:val="0064486C"/>
    <w:rsid w:val="00644E60"/>
    <w:rsid w:val="006457B7"/>
    <w:rsid w:val="00645BF9"/>
    <w:rsid w:val="006463EC"/>
    <w:rsid w:val="00646BB4"/>
    <w:rsid w:val="00647CB3"/>
    <w:rsid w:val="00647CC6"/>
    <w:rsid w:val="00647D60"/>
    <w:rsid w:val="00647FA5"/>
    <w:rsid w:val="00650150"/>
    <w:rsid w:val="00650854"/>
    <w:rsid w:val="00650CF1"/>
    <w:rsid w:val="00650D1E"/>
    <w:rsid w:val="00650EB8"/>
    <w:rsid w:val="00650F7C"/>
    <w:rsid w:val="00650FBE"/>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3EE"/>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67A64"/>
    <w:rsid w:val="006704BF"/>
    <w:rsid w:val="00670AD6"/>
    <w:rsid w:val="00670ECD"/>
    <w:rsid w:val="00671C8F"/>
    <w:rsid w:val="00672966"/>
    <w:rsid w:val="006729A2"/>
    <w:rsid w:val="00672F44"/>
    <w:rsid w:val="0067330E"/>
    <w:rsid w:val="006735BC"/>
    <w:rsid w:val="006737DD"/>
    <w:rsid w:val="00673BDE"/>
    <w:rsid w:val="00673EB7"/>
    <w:rsid w:val="00673FBF"/>
    <w:rsid w:val="0067408B"/>
    <w:rsid w:val="00674460"/>
    <w:rsid w:val="00674C27"/>
    <w:rsid w:val="00674FB7"/>
    <w:rsid w:val="0067517B"/>
    <w:rsid w:val="00675652"/>
    <w:rsid w:val="00675750"/>
    <w:rsid w:val="006757DC"/>
    <w:rsid w:val="006767B8"/>
    <w:rsid w:val="00676A9D"/>
    <w:rsid w:val="00677725"/>
    <w:rsid w:val="0068013A"/>
    <w:rsid w:val="00680A97"/>
    <w:rsid w:val="00680F30"/>
    <w:rsid w:val="00680F81"/>
    <w:rsid w:val="0068102D"/>
    <w:rsid w:val="006819F6"/>
    <w:rsid w:val="0068226B"/>
    <w:rsid w:val="00682318"/>
    <w:rsid w:val="00682A4A"/>
    <w:rsid w:val="00682ED3"/>
    <w:rsid w:val="00683D7F"/>
    <w:rsid w:val="00683FA2"/>
    <w:rsid w:val="00683FBC"/>
    <w:rsid w:val="00684258"/>
    <w:rsid w:val="00685725"/>
    <w:rsid w:val="00685D3B"/>
    <w:rsid w:val="00685E05"/>
    <w:rsid w:val="0068623E"/>
    <w:rsid w:val="00686366"/>
    <w:rsid w:val="0068653A"/>
    <w:rsid w:val="0068673B"/>
    <w:rsid w:val="00686BE7"/>
    <w:rsid w:val="0068721F"/>
    <w:rsid w:val="00687423"/>
    <w:rsid w:val="006900A6"/>
    <w:rsid w:val="00690D12"/>
    <w:rsid w:val="00690F0E"/>
    <w:rsid w:val="006919C5"/>
    <w:rsid w:val="00691BF3"/>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349"/>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04B"/>
    <w:rsid w:val="006C75C9"/>
    <w:rsid w:val="006D0233"/>
    <w:rsid w:val="006D03CD"/>
    <w:rsid w:val="006D0A70"/>
    <w:rsid w:val="006D0AD9"/>
    <w:rsid w:val="006D0DED"/>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0FC0"/>
    <w:rsid w:val="006E176F"/>
    <w:rsid w:val="006E1B3E"/>
    <w:rsid w:val="006E22CC"/>
    <w:rsid w:val="006E2AA6"/>
    <w:rsid w:val="006E2AEF"/>
    <w:rsid w:val="006E33CF"/>
    <w:rsid w:val="006E34B6"/>
    <w:rsid w:val="006E3D3A"/>
    <w:rsid w:val="006E459B"/>
    <w:rsid w:val="006E49E5"/>
    <w:rsid w:val="006E512D"/>
    <w:rsid w:val="006E5151"/>
    <w:rsid w:val="006E54EC"/>
    <w:rsid w:val="006E554E"/>
    <w:rsid w:val="006E55C2"/>
    <w:rsid w:val="006E6A05"/>
    <w:rsid w:val="006E6DA9"/>
    <w:rsid w:val="006E6F03"/>
    <w:rsid w:val="006E71A8"/>
    <w:rsid w:val="006E7320"/>
    <w:rsid w:val="006E7496"/>
    <w:rsid w:val="006E792F"/>
    <w:rsid w:val="006E7969"/>
    <w:rsid w:val="006E7E49"/>
    <w:rsid w:val="006E7F71"/>
    <w:rsid w:val="006F02B5"/>
    <w:rsid w:val="006F0381"/>
    <w:rsid w:val="006F03BC"/>
    <w:rsid w:val="006F05C2"/>
    <w:rsid w:val="006F090B"/>
    <w:rsid w:val="006F0C12"/>
    <w:rsid w:val="006F0EB1"/>
    <w:rsid w:val="006F1008"/>
    <w:rsid w:val="006F1436"/>
    <w:rsid w:val="006F1D86"/>
    <w:rsid w:val="006F1FEB"/>
    <w:rsid w:val="006F22CB"/>
    <w:rsid w:val="006F2460"/>
    <w:rsid w:val="006F256A"/>
    <w:rsid w:val="006F291E"/>
    <w:rsid w:val="006F2E21"/>
    <w:rsid w:val="006F3052"/>
    <w:rsid w:val="006F30D4"/>
    <w:rsid w:val="006F314D"/>
    <w:rsid w:val="006F3738"/>
    <w:rsid w:val="006F3B01"/>
    <w:rsid w:val="006F3BDF"/>
    <w:rsid w:val="006F4072"/>
    <w:rsid w:val="006F4189"/>
    <w:rsid w:val="006F4A19"/>
    <w:rsid w:val="006F4B01"/>
    <w:rsid w:val="006F557B"/>
    <w:rsid w:val="006F590E"/>
    <w:rsid w:val="006F5B41"/>
    <w:rsid w:val="006F61FB"/>
    <w:rsid w:val="006F6689"/>
    <w:rsid w:val="006F6740"/>
    <w:rsid w:val="006F746D"/>
    <w:rsid w:val="006F7A92"/>
    <w:rsid w:val="006F7C53"/>
    <w:rsid w:val="006F7E42"/>
    <w:rsid w:val="00700042"/>
    <w:rsid w:val="0070023A"/>
    <w:rsid w:val="00700626"/>
    <w:rsid w:val="00701170"/>
    <w:rsid w:val="007017EA"/>
    <w:rsid w:val="0070181F"/>
    <w:rsid w:val="0070193E"/>
    <w:rsid w:val="00701B27"/>
    <w:rsid w:val="00702745"/>
    <w:rsid w:val="00702BFC"/>
    <w:rsid w:val="00702D9F"/>
    <w:rsid w:val="007033C1"/>
    <w:rsid w:val="007034BC"/>
    <w:rsid w:val="007035F6"/>
    <w:rsid w:val="007036E5"/>
    <w:rsid w:val="007047A7"/>
    <w:rsid w:val="00704A33"/>
    <w:rsid w:val="00704DEB"/>
    <w:rsid w:val="00705584"/>
    <w:rsid w:val="00705E96"/>
    <w:rsid w:val="00706200"/>
    <w:rsid w:val="00706416"/>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9F2"/>
    <w:rsid w:val="00723E7A"/>
    <w:rsid w:val="00723EC3"/>
    <w:rsid w:val="00724426"/>
    <w:rsid w:val="00724781"/>
    <w:rsid w:val="00724854"/>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2DF6"/>
    <w:rsid w:val="00733315"/>
    <w:rsid w:val="007335E5"/>
    <w:rsid w:val="00733858"/>
    <w:rsid w:val="00733A74"/>
    <w:rsid w:val="00733A80"/>
    <w:rsid w:val="00733AA9"/>
    <w:rsid w:val="00733BCB"/>
    <w:rsid w:val="00733F4E"/>
    <w:rsid w:val="00733F50"/>
    <w:rsid w:val="0073497A"/>
    <w:rsid w:val="007356D0"/>
    <w:rsid w:val="0073637C"/>
    <w:rsid w:val="0073649D"/>
    <w:rsid w:val="00736BCC"/>
    <w:rsid w:val="00736D7B"/>
    <w:rsid w:val="00736F6C"/>
    <w:rsid w:val="007371C5"/>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9DD"/>
    <w:rsid w:val="00744FB1"/>
    <w:rsid w:val="0074514D"/>
    <w:rsid w:val="0074576E"/>
    <w:rsid w:val="00745EBB"/>
    <w:rsid w:val="00745FA9"/>
    <w:rsid w:val="00746167"/>
    <w:rsid w:val="00746199"/>
    <w:rsid w:val="0074644A"/>
    <w:rsid w:val="007465B7"/>
    <w:rsid w:val="00746EFC"/>
    <w:rsid w:val="00747446"/>
    <w:rsid w:val="00747BD8"/>
    <w:rsid w:val="00747E09"/>
    <w:rsid w:val="00747F05"/>
    <w:rsid w:val="0075038A"/>
    <w:rsid w:val="007509F9"/>
    <w:rsid w:val="00750CB0"/>
    <w:rsid w:val="007513CD"/>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607"/>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2B67"/>
    <w:rsid w:val="00763055"/>
    <w:rsid w:val="0076375B"/>
    <w:rsid w:val="00763D32"/>
    <w:rsid w:val="00764E4E"/>
    <w:rsid w:val="00764EB8"/>
    <w:rsid w:val="00765098"/>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D15"/>
    <w:rsid w:val="00772DC3"/>
    <w:rsid w:val="007733C4"/>
    <w:rsid w:val="00773A61"/>
    <w:rsid w:val="007743A1"/>
    <w:rsid w:val="007744EF"/>
    <w:rsid w:val="007750DC"/>
    <w:rsid w:val="00775330"/>
    <w:rsid w:val="00775BAA"/>
    <w:rsid w:val="00775BF2"/>
    <w:rsid w:val="00775EFD"/>
    <w:rsid w:val="00775F11"/>
    <w:rsid w:val="007762CD"/>
    <w:rsid w:val="0077632D"/>
    <w:rsid w:val="007768F2"/>
    <w:rsid w:val="00776C0B"/>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8D0"/>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5832"/>
    <w:rsid w:val="0079586A"/>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AF1"/>
    <w:rsid w:val="007A5288"/>
    <w:rsid w:val="007A5A54"/>
    <w:rsid w:val="007A618D"/>
    <w:rsid w:val="007A6333"/>
    <w:rsid w:val="007A6477"/>
    <w:rsid w:val="007A6909"/>
    <w:rsid w:val="007A6EB9"/>
    <w:rsid w:val="007A75A3"/>
    <w:rsid w:val="007A7A9E"/>
    <w:rsid w:val="007A7CD2"/>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0F5"/>
    <w:rsid w:val="007C0880"/>
    <w:rsid w:val="007C0BD2"/>
    <w:rsid w:val="007C0EE5"/>
    <w:rsid w:val="007C0F3A"/>
    <w:rsid w:val="007C1065"/>
    <w:rsid w:val="007C1537"/>
    <w:rsid w:val="007C1B94"/>
    <w:rsid w:val="007C2A39"/>
    <w:rsid w:val="007C2CDB"/>
    <w:rsid w:val="007C3D88"/>
    <w:rsid w:val="007C3F14"/>
    <w:rsid w:val="007C3F68"/>
    <w:rsid w:val="007C40D9"/>
    <w:rsid w:val="007C420F"/>
    <w:rsid w:val="007C4348"/>
    <w:rsid w:val="007C4A92"/>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553"/>
    <w:rsid w:val="007D0677"/>
    <w:rsid w:val="007D0779"/>
    <w:rsid w:val="007D096E"/>
    <w:rsid w:val="007D098C"/>
    <w:rsid w:val="007D11B6"/>
    <w:rsid w:val="007D149C"/>
    <w:rsid w:val="007D1558"/>
    <w:rsid w:val="007D1B7C"/>
    <w:rsid w:val="007D1DCC"/>
    <w:rsid w:val="007D214A"/>
    <w:rsid w:val="007D252B"/>
    <w:rsid w:val="007D3394"/>
    <w:rsid w:val="007D357E"/>
    <w:rsid w:val="007D3889"/>
    <w:rsid w:val="007D39A2"/>
    <w:rsid w:val="007D39D7"/>
    <w:rsid w:val="007D4939"/>
    <w:rsid w:val="007D4FF2"/>
    <w:rsid w:val="007D512C"/>
    <w:rsid w:val="007D526F"/>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3A8"/>
    <w:rsid w:val="007E2B64"/>
    <w:rsid w:val="007E45DE"/>
    <w:rsid w:val="007E48CD"/>
    <w:rsid w:val="007E48E4"/>
    <w:rsid w:val="007E4937"/>
    <w:rsid w:val="007E4F0D"/>
    <w:rsid w:val="007E531F"/>
    <w:rsid w:val="007E5A14"/>
    <w:rsid w:val="007E5FFD"/>
    <w:rsid w:val="007E6468"/>
    <w:rsid w:val="007E6735"/>
    <w:rsid w:val="007E67F4"/>
    <w:rsid w:val="007E6EF1"/>
    <w:rsid w:val="007E7B2B"/>
    <w:rsid w:val="007E7CBA"/>
    <w:rsid w:val="007F02CD"/>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4A4"/>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54B6"/>
    <w:rsid w:val="008155E8"/>
    <w:rsid w:val="00815706"/>
    <w:rsid w:val="00815F85"/>
    <w:rsid w:val="00816493"/>
    <w:rsid w:val="00816654"/>
    <w:rsid w:val="00816A54"/>
    <w:rsid w:val="00816D94"/>
    <w:rsid w:val="00817508"/>
    <w:rsid w:val="0081787C"/>
    <w:rsid w:val="00817B8F"/>
    <w:rsid w:val="00817C96"/>
    <w:rsid w:val="00817D2A"/>
    <w:rsid w:val="00817F27"/>
    <w:rsid w:val="00820DF1"/>
    <w:rsid w:val="00820FBF"/>
    <w:rsid w:val="008214D2"/>
    <w:rsid w:val="0082172C"/>
    <w:rsid w:val="00821AA7"/>
    <w:rsid w:val="00823335"/>
    <w:rsid w:val="008237B2"/>
    <w:rsid w:val="00823F61"/>
    <w:rsid w:val="00824297"/>
    <w:rsid w:val="0082449E"/>
    <w:rsid w:val="008247C6"/>
    <w:rsid w:val="008249F3"/>
    <w:rsid w:val="008249FF"/>
    <w:rsid w:val="008251EC"/>
    <w:rsid w:val="008258A5"/>
    <w:rsid w:val="00825CC9"/>
    <w:rsid w:val="00825DD4"/>
    <w:rsid w:val="00826204"/>
    <w:rsid w:val="00826D90"/>
    <w:rsid w:val="00827015"/>
    <w:rsid w:val="00827109"/>
    <w:rsid w:val="0082728D"/>
    <w:rsid w:val="00827648"/>
    <w:rsid w:val="00827A41"/>
    <w:rsid w:val="00827AF3"/>
    <w:rsid w:val="0083056F"/>
    <w:rsid w:val="00830F16"/>
    <w:rsid w:val="00831198"/>
    <w:rsid w:val="0083136F"/>
    <w:rsid w:val="008314BC"/>
    <w:rsid w:val="00832142"/>
    <w:rsid w:val="00832C18"/>
    <w:rsid w:val="00832CAF"/>
    <w:rsid w:val="00832D3C"/>
    <w:rsid w:val="00832DC4"/>
    <w:rsid w:val="008330DB"/>
    <w:rsid w:val="00833EF5"/>
    <w:rsid w:val="00834073"/>
    <w:rsid w:val="0083417A"/>
    <w:rsid w:val="00834512"/>
    <w:rsid w:val="00834746"/>
    <w:rsid w:val="008349E7"/>
    <w:rsid w:val="00834C67"/>
    <w:rsid w:val="0083502C"/>
    <w:rsid w:val="0083562C"/>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3C"/>
    <w:rsid w:val="008426B0"/>
    <w:rsid w:val="0084276E"/>
    <w:rsid w:val="00842DB7"/>
    <w:rsid w:val="00842E1C"/>
    <w:rsid w:val="008430FD"/>
    <w:rsid w:val="0084387F"/>
    <w:rsid w:val="00843AFD"/>
    <w:rsid w:val="00843C72"/>
    <w:rsid w:val="008444F8"/>
    <w:rsid w:val="008446A8"/>
    <w:rsid w:val="00844750"/>
    <w:rsid w:val="00844F42"/>
    <w:rsid w:val="00845911"/>
    <w:rsid w:val="00845E4A"/>
    <w:rsid w:val="00845F51"/>
    <w:rsid w:val="00845F6D"/>
    <w:rsid w:val="00846106"/>
    <w:rsid w:val="00846144"/>
    <w:rsid w:val="008462E7"/>
    <w:rsid w:val="008463D2"/>
    <w:rsid w:val="00846467"/>
    <w:rsid w:val="00846CC4"/>
    <w:rsid w:val="00847025"/>
    <w:rsid w:val="00847991"/>
    <w:rsid w:val="00847C4E"/>
    <w:rsid w:val="00850EED"/>
    <w:rsid w:val="0085130C"/>
    <w:rsid w:val="008517A4"/>
    <w:rsid w:val="00851B22"/>
    <w:rsid w:val="00851BAC"/>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75E"/>
    <w:rsid w:val="00862988"/>
    <w:rsid w:val="00862C4E"/>
    <w:rsid w:val="00863479"/>
    <w:rsid w:val="008634AE"/>
    <w:rsid w:val="00863AA0"/>
    <w:rsid w:val="008644AD"/>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1FE0"/>
    <w:rsid w:val="0087229F"/>
    <w:rsid w:val="008722B0"/>
    <w:rsid w:val="008722F7"/>
    <w:rsid w:val="0087250F"/>
    <w:rsid w:val="00873219"/>
    <w:rsid w:val="008734E7"/>
    <w:rsid w:val="00873A6D"/>
    <w:rsid w:val="00873BF0"/>
    <w:rsid w:val="00874D5F"/>
    <w:rsid w:val="00874E33"/>
    <w:rsid w:val="00874FAC"/>
    <w:rsid w:val="0087504C"/>
    <w:rsid w:val="00875905"/>
    <w:rsid w:val="00875E7F"/>
    <w:rsid w:val="00875F79"/>
    <w:rsid w:val="00875FBD"/>
    <w:rsid w:val="00876055"/>
    <w:rsid w:val="00876AC7"/>
    <w:rsid w:val="0087721D"/>
    <w:rsid w:val="0087746C"/>
    <w:rsid w:val="00877C57"/>
    <w:rsid w:val="00877FA3"/>
    <w:rsid w:val="0088011E"/>
    <w:rsid w:val="008804C9"/>
    <w:rsid w:val="0088052B"/>
    <w:rsid w:val="00880B3D"/>
    <w:rsid w:val="00880D84"/>
    <w:rsid w:val="008810DF"/>
    <w:rsid w:val="008810FA"/>
    <w:rsid w:val="00881225"/>
    <w:rsid w:val="0088134E"/>
    <w:rsid w:val="00881842"/>
    <w:rsid w:val="00881F28"/>
    <w:rsid w:val="008821A0"/>
    <w:rsid w:val="0088261A"/>
    <w:rsid w:val="008829DA"/>
    <w:rsid w:val="00882BB1"/>
    <w:rsid w:val="00883004"/>
    <w:rsid w:val="008832AE"/>
    <w:rsid w:val="0088355B"/>
    <w:rsid w:val="00883D18"/>
    <w:rsid w:val="00883ED6"/>
    <w:rsid w:val="00883F88"/>
    <w:rsid w:val="00883F8F"/>
    <w:rsid w:val="00884217"/>
    <w:rsid w:val="00884255"/>
    <w:rsid w:val="0088425B"/>
    <w:rsid w:val="00885039"/>
    <w:rsid w:val="0088579F"/>
    <w:rsid w:val="0088599D"/>
    <w:rsid w:val="008859F0"/>
    <w:rsid w:val="00885D5D"/>
    <w:rsid w:val="00885F46"/>
    <w:rsid w:val="00886116"/>
    <w:rsid w:val="008862BA"/>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6A50"/>
    <w:rsid w:val="008A72A4"/>
    <w:rsid w:val="008A758D"/>
    <w:rsid w:val="008A75C5"/>
    <w:rsid w:val="008A7669"/>
    <w:rsid w:val="008A7819"/>
    <w:rsid w:val="008A7BEA"/>
    <w:rsid w:val="008A7C09"/>
    <w:rsid w:val="008B0005"/>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2FEA"/>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C7A"/>
    <w:rsid w:val="008C6F4F"/>
    <w:rsid w:val="008C74CC"/>
    <w:rsid w:val="008C7A66"/>
    <w:rsid w:val="008C7BC1"/>
    <w:rsid w:val="008C7F77"/>
    <w:rsid w:val="008D02CB"/>
    <w:rsid w:val="008D0459"/>
    <w:rsid w:val="008D05D2"/>
    <w:rsid w:val="008D0899"/>
    <w:rsid w:val="008D13DC"/>
    <w:rsid w:val="008D149D"/>
    <w:rsid w:val="008D1D1E"/>
    <w:rsid w:val="008D1E23"/>
    <w:rsid w:val="008D2461"/>
    <w:rsid w:val="008D2FBD"/>
    <w:rsid w:val="008D3208"/>
    <w:rsid w:val="008D3F21"/>
    <w:rsid w:val="008D4046"/>
    <w:rsid w:val="008D4277"/>
    <w:rsid w:val="008D453F"/>
    <w:rsid w:val="008D508F"/>
    <w:rsid w:val="008D538D"/>
    <w:rsid w:val="008D592F"/>
    <w:rsid w:val="008D5EEC"/>
    <w:rsid w:val="008D5FCD"/>
    <w:rsid w:val="008D6733"/>
    <w:rsid w:val="008D68A7"/>
    <w:rsid w:val="008D6F90"/>
    <w:rsid w:val="008D72A4"/>
    <w:rsid w:val="008D7378"/>
    <w:rsid w:val="008D7554"/>
    <w:rsid w:val="008D7615"/>
    <w:rsid w:val="008D76A0"/>
    <w:rsid w:val="008D77F1"/>
    <w:rsid w:val="008D78C3"/>
    <w:rsid w:val="008D7DEB"/>
    <w:rsid w:val="008E037E"/>
    <w:rsid w:val="008E04B5"/>
    <w:rsid w:val="008E0CDD"/>
    <w:rsid w:val="008E0E89"/>
    <w:rsid w:val="008E0E8C"/>
    <w:rsid w:val="008E1109"/>
    <w:rsid w:val="008E1217"/>
    <w:rsid w:val="008E1333"/>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A83"/>
    <w:rsid w:val="008E5B5F"/>
    <w:rsid w:val="008E5D24"/>
    <w:rsid w:val="008E5D5A"/>
    <w:rsid w:val="008E6074"/>
    <w:rsid w:val="008E6333"/>
    <w:rsid w:val="008E6788"/>
    <w:rsid w:val="008E6A19"/>
    <w:rsid w:val="008E7DB3"/>
    <w:rsid w:val="008F01AB"/>
    <w:rsid w:val="008F0460"/>
    <w:rsid w:val="008F0D27"/>
    <w:rsid w:val="008F16DC"/>
    <w:rsid w:val="008F1CF8"/>
    <w:rsid w:val="008F2201"/>
    <w:rsid w:val="008F2595"/>
    <w:rsid w:val="008F2B4B"/>
    <w:rsid w:val="008F32C6"/>
    <w:rsid w:val="008F3547"/>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075A1"/>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A0C"/>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07D4"/>
    <w:rsid w:val="0093135E"/>
    <w:rsid w:val="0093195D"/>
    <w:rsid w:val="00932109"/>
    <w:rsid w:val="009322AC"/>
    <w:rsid w:val="009324B1"/>
    <w:rsid w:val="009327B5"/>
    <w:rsid w:val="00932907"/>
    <w:rsid w:val="00932A16"/>
    <w:rsid w:val="00932A20"/>
    <w:rsid w:val="0093311E"/>
    <w:rsid w:val="009336B2"/>
    <w:rsid w:val="00933D61"/>
    <w:rsid w:val="00933DE4"/>
    <w:rsid w:val="0093415D"/>
    <w:rsid w:val="0093457F"/>
    <w:rsid w:val="00935071"/>
    <w:rsid w:val="009355F0"/>
    <w:rsid w:val="00935B52"/>
    <w:rsid w:val="00935BA3"/>
    <w:rsid w:val="00935CDF"/>
    <w:rsid w:val="00935EE0"/>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2D"/>
    <w:rsid w:val="00944335"/>
    <w:rsid w:val="00944491"/>
    <w:rsid w:val="00944710"/>
    <w:rsid w:val="00944AF4"/>
    <w:rsid w:val="00944D54"/>
    <w:rsid w:val="009458F4"/>
    <w:rsid w:val="00945E49"/>
    <w:rsid w:val="009462D8"/>
    <w:rsid w:val="00946388"/>
    <w:rsid w:val="0094657D"/>
    <w:rsid w:val="00946A21"/>
    <w:rsid w:val="00947C92"/>
    <w:rsid w:val="0095023D"/>
    <w:rsid w:val="009504A4"/>
    <w:rsid w:val="009509D7"/>
    <w:rsid w:val="00950B09"/>
    <w:rsid w:val="00950DD1"/>
    <w:rsid w:val="00951417"/>
    <w:rsid w:val="0095154C"/>
    <w:rsid w:val="009517A9"/>
    <w:rsid w:val="009518BD"/>
    <w:rsid w:val="00951995"/>
    <w:rsid w:val="00951C7E"/>
    <w:rsid w:val="00951CF6"/>
    <w:rsid w:val="0095225E"/>
    <w:rsid w:val="00952ACA"/>
    <w:rsid w:val="0095351C"/>
    <w:rsid w:val="009537A7"/>
    <w:rsid w:val="00953B1F"/>
    <w:rsid w:val="009548C3"/>
    <w:rsid w:val="0095506D"/>
    <w:rsid w:val="009555E2"/>
    <w:rsid w:val="009557DF"/>
    <w:rsid w:val="00955A2E"/>
    <w:rsid w:val="00955D44"/>
    <w:rsid w:val="00956101"/>
    <w:rsid w:val="009565FB"/>
    <w:rsid w:val="00957041"/>
    <w:rsid w:val="00957060"/>
    <w:rsid w:val="0095724A"/>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43D"/>
    <w:rsid w:val="0096292B"/>
    <w:rsid w:val="0096336E"/>
    <w:rsid w:val="0096392B"/>
    <w:rsid w:val="0096397B"/>
    <w:rsid w:val="0096397F"/>
    <w:rsid w:val="009640C7"/>
    <w:rsid w:val="00964E3C"/>
    <w:rsid w:val="00964E69"/>
    <w:rsid w:val="00964F9F"/>
    <w:rsid w:val="0096504D"/>
    <w:rsid w:val="009654F0"/>
    <w:rsid w:val="009659EA"/>
    <w:rsid w:val="009668AE"/>
    <w:rsid w:val="0096691D"/>
    <w:rsid w:val="00966A85"/>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13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12C"/>
    <w:rsid w:val="00992624"/>
    <w:rsid w:val="0099270B"/>
    <w:rsid w:val="009927C4"/>
    <w:rsid w:val="00992D84"/>
    <w:rsid w:val="009930C0"/>
    <w:rsid w:val="0099324C"/>
    <w:rsid w:val="00993627"/>
    <w:rsid w:val="00993658"/>
    <w:rsid w:val="0099367D"/>
    <w:rsid w:val="009936F0"/>
    <w:rsid w:val="00993720"/>
    <w:rsid w:val="00993974"/>
    <w:rsid w:val="00993BB7"/>
    <w:rsid w:val="00993DA5"/>
    <w:rsid w:val="009946AE"/>
    <w:rsid w:val="00994A7D"/>
    <w:rsid w:val="00994C0C"/>
    <w:rsid w:val="00995360"/>
    <w:rsid w:val="009954AD"/>
    <w:rsid w:val="009964AA"/>
    <w:rsid w:val="00996546"/>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532"/>
    <w:rsid w:val="009A2B39"/>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F78"/>
    <w:rsid w:val="009B159A"/>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D9D"/>
    <w:rsid w:val="009B7FF4"/>
    <w:rsid w:val="009B7FFA"/>
    <w:rsid w:val="009C00EF"/>
    <w:rsid w:val="009C0BC1"/>
    <w:rsid w:val="009C0DBE"/>
    <w:rsid w:val="009C0EA6"/>
    <w:rsid w:val="009C10DF"/>
    <w:rsid w:val="009C1894"/>
    <w:rsid w:val="009C1A35"/>
    <w:rsid w:val="009C1D4B"/>
    <w:rsid w:val="009C1E0C"/>
    <w:rsid w:val="009C2127"/>
    <w:rsid w:val="009C264C"/>
    <w:rsid w:val="009C281C"/>
    <w:rsid w:val="009C294D"/>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E02D5"/>
    <w:rsid w:val="009E06E3"/>
    <w:rsid w:val="009E11A9"/>
    <w:rsid w:val="009E176B"/>
    <w:rsid w:val="009E1E13"/>
    <w:rsid w:val="009E1F70"/>
    <w:rsid w:val="009E1FFC"/>
    <w:rsid w:val="009E27AE"/>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20D"/>
    <w:rsid w:val="00A02B26"/>
    <w:rsid w:val="00A03893"/>
    <w:rsid w:val="00A0394B"/>
    <w:rsid w:val="00A04541"/>
    <w:rsid w:val="00A04846"/>
    <w:rsid w:val="00A04A92"/>
    <w:rsid w:val="00A0529B"/>
    <w:rsid w:val="00A0559E"/>
    <w:rsid w:val="00A05876"/>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7FF"/>
    <w:rsid w:val="00A379AA"/>
    <w:rsid w:val="00A37A59"/>
    <w:rsid w:val="00A401C7"/>
    <w:rsid w:val="00A40531"/>
    <w:rsid w:val="00A40889"/>
    <w:rsid w:val="00A41009"/>
    <w:rsid w:val="00A41179"/>
    <w:rsid w:val="00A41772"/>
    <w:rsid w:val="00A425D3"/>
    <w:rsid w:val="00A42659"/>
    <w:rsid w:val="00A42721"/>
    <w:rsid w:val="00A42897"/>
    <w:rsid w:val="00A429DE"/>
    <w:rsid w:val="00A4339C"/>
    <w:rsid w:val="00A43D7B"/>
    <w:rsid w:val="00A43FDF"/>
    <w:rsid w:val="00A44480"/>
    <w:rsid w:val="00A44882"/>
    <w:rsid w:val="00A4495A"/>
    <w:rsid w:val="00A44AA5"/>
    <w:rsid w:val="00A44E28"/>
    <w:rsid w:val="00A4570E"/>
    <w:rsid w:val="00A45A3B"/>
    <w:rsid w:val="00A463E7"/>
    <w:rsid w:val="00A46668"/>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35AC"/>
    <w:rsid w:val="00A544BF"/>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0BF7"/>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882"/>
    <w:rsid w:val="00A66A5A"/>
    <w:rsid w:val="00A672E6"/>
    <w:rsid w:val="00A677C1"/>
    <w:rsid w:val="00A67816"/>
    <w:rsid w:val="00A67A8E"/>
    <w:rsid w:val="00A67AC6"/>
    <w:rsid w:val="00A70277"/>
    <w:rsid w:val="00A70478"/>
    <w:rsid w:val="00A70A35"/>
    <w:rsid w:val="00A70AA0"/>
    <w:rsid w:val="00A7141F"/>
    <w:rsid w:val="00A71D6B"/>
    <w:rsid w:val="00A71F1F"/>
    <w:rsid w:val="00A72C6C"/>
    <w:rsid w:val="00A73873"/>
    <w:rsid w:val="00A73899"/>
    <w:rsid w:val="00A738A9"/>
    <w:rsid w:val="00A739C3"/>
    <w:rsid w:val="00A744A2"/>
    <w:rsid w:val="00A74584"/>
    <w:rsid w:val="00A745D9"/>
    <w:rsid w:val="00A74E04"/>
    <w:rsid w:val="00A74F6C"/>
    <w:rsid w:val="00A7505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471E"/>
    <w:rsid w:val="00A8502D"/>
    <w:rsid w:val="00A8513A"/>
    <w:rsid w:val="00A8523D"/>
    <w:rsid w:val="00A853DF"/>
    <w:rsid w:val="00A85661"/>
    <w:rsid w:val="00A85A8F"/>
    <w:rsid w:val="00A85FFF"/>
    <w:rsid w:val="00A864D1"/>
    <w:rsid w:val="00A86ACD"/>
    <w:rsid w:val="00A86FEF"/>
    <w:rsid w:val="00A87482"/>
    <w:rsid w:val="00A877AC"/>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06D"/>
    <w:rsid w:val="00AA04A9"/>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48D"/>
    <w:rsid w:val="00AC09E5"/>
    <w:rsid w:val="00AC1191"/>
    <w:rsid w:val="00AC1281"/>
    <w:rsid w:val="00AC230C"/>
    <w:rsid w:val="00AC2D4E"/>
    <w:rsid w:val="00AC3084"/>
    <w:rsid w:val="00AC3431"/>
    <w:rsid w:val="00AC38E9"/>
    <w:rsid w:val="00AC45D6"/>
    <w:rsid w:val="00AC4D53"/>
    <w:rsid w:val="00AC4E2E"/>
    <w:rsid w:val="00AC4F32"/>
    <w:rsid w:val="00AC5A3B"/>
    <w:rsid w:val="00AC61B3"/>
    <w:rsid w:val="00AC63F4"/>
    <w:rsid w:val="00AC6478"/>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9B0"/>
    <w:rsid w:val="00AD3BEC"/>
    <w:rsid w:val="00AD4036"/>
    <w:rsid w:val="00AD48F9"/>
    <w:rsid w:val="00AD514B"/>
    <w:rsid w:val="00AD5984"/>
    <w:rsid w:val="00AD598F"/>
    <w:rsid w:val="00AD5B1B"/>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DA5"/>
    <w:rsid w:val="00AE4F01"/>
    <w:rsid w:val="00AE552C"/>
    <w:rsid w:val="00AE567B"/>
    <w:rsid w:val="00AE5749"/>
    <w:rsid w:val="00AE5E95"/>
    <w:rsid w:val="00AE6433"/>
    <w:rsid w:val="00AE646D"/>
    <w:rsid w:val="00AE6584"/>
    <w:rsid w:val="00AE69BD"/>
    <w:rsid w:val="00AE69C4"/>
    <w:rsid w:val="00AE6D12"/>
    <w:rsid w:val="00AE6EEB"/>
    <w:rsid w:val="00AE723D"/>
    <w:rsid w:val="00AE7992"/>
    <w:rsid w:val="00AF0801"/>
    <w:rsid w:val="00AF0907"/>
    <w:rsid w:val="00AF1414"/>
    <w:rsid w:val="00AF1A16"/>
    <w:rsid w:val="00AF28B0"/>
    <w:rsid w:val="00AF2DED"/>
    <w:rsid w:val="00AF3C76"/>
    <w:rsid w:val="00AF3C80"/>
    <w:rsid w:val="00AF3C8C"/>
    <w:rsid w:val="00AF40F5"/>
    <w:rsid w:val="00AF41FC"/>
    <w:rsid w:val="00AF457C"/>
    <w:rsid w:val="00AF4648"/>
    <w:rsid w:val="00AF4E36"/>
    <w:rsid w:val="00AF5021"/>
    <w:rsid w:val="00AF5363"/>
    <w:rsid w:val="00AF557C"/>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E61"/>
    <w:rsid w:val="00B01F0D"/>
    <w:rsid w:val="00B02014"/>
    <w:rsid w:val="00B0226B"/>
    <w:rsid w:val="00B0226D"/>
    <w:rsid w:val="00B023FC"/>
    <w:rsid w:val="00B02A4C"/>
    <w:rsid w:val="00B03101"/>
    <w:rsid w:val="00B031C5"/>
    <w:rsid w:val="00B039CE"/>
    <w:rsid w:val="00B03D26"/>
    <w:rsid w:val="00B04784"/>
    <w:rsid w:val="00B04BD0"/>
    <w:rsid w:val="00B04D36"/>
    <w:rsid w:val="00B04F11"/>
    <w:rsid w:val="00B04F79"/>
    <w:rsid w:val="00B054CE"/>
    <w:rsid w:val="00B05688"/>
    <w:rsid w:val="00B0654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744"/>
    <w:rsid w:val="00B17938"/>
    <w:rsid w:val="00B20057"/>
    <w:rsid w:val="00B2043A"/>
    <w:rsid w:val="00B20E2B"/>
    <w:rsid w:val="00B21016"/>
    <w:rsid w:val="00B215F9"/>
    <w:rsid w:val="00B21CA7"/>
    <w:rsid w:val="00B21D72"/>
    <w:rsid w:val="00B21D85"/>
    <w:rsid w:val="00B21DF9"/>
    <w:rsid w:val="00B223DE"/>
    <w:rsid w:val="00B2262B"/>
    <w:rsid w:val="00B233A9"/>
    <w:rsid w:val="00B236D3"/>
    <w:rsid w:val="00B239CC"/>
    <w:rsid w:val="00B24B42"/>
    <w:rsid w:val="00B24F49"/>
    <w:rsid w:val="00B254EC"/>
    <w:rsid w:val="00B25585"/>
    <w:rsid w:val="00B25A70"/>
    <w:rsid w:val="00B25BD8"/>
    <w:rsid w:val="00B25E1D"/>
    <w:rsid w:val="00B25F9A"/>
    <w:rsid w:val="00B2613A"/>
    <w:rsid w:val="00B269CE"/>
    <w:rsid w:val="00B2757B"/>
    <w:rsid w:val="00B27742"/>
    <w:rsid w:val="00B27D54"/>
    <w:rsid w:val="00B27D7A"/>
    <w:rsid w:val="00B30355"/>
    <w:rsid w:val="00B305B7"/>
    <w:rsid w:val="00B305C0"/>
    <w:rsid w:val="00B31E5F"/>
    <w:rsid w:val="00B32607"/>
    <w:rsid w:val="00B326BE"/>
    <w:rsid w:val="00B32821"/>
    <w:rsid w:val="00B32CE3"/>
    <w:rsid w:val="00B33595"/>
    <w:rsid w:val="00B3396B"/>
    <w:rsid w:val="00B3468D"/>
    <w:rsid w:val="00B34886"/>
    <w:rsid w:val="00B3488B"/>
    <w:rsid w:val="00B3511C"/>
    <w:rsid w:val="00B3539A"/>
    <w:rsid w:val="00B3581E"/>
    <w:rsid w:val="00B35CB3"/>
    <w:rsid w:val="00B35F8E"/>
    <w:rsid w:val="00B37121"/>
    <w:rsid w:val="00B371A9"/>
    <w:rsid w:val="00B4003E"/>
    <w:rsid w:val="00B40292"/>
    <w:rsid w:val="00B406B2"/>
    <w:rsid w:val="00B40D73"/>
    <w:rsid w:val="00B411A3"/>
    <w:rsid w:val="00B412CB"/>
    <w:rsid w:val="00B41351"/>
    <w:rsid w:val="00B4136D"/>
    <w:rsid w:val="00B415EF"/>
    <w:rsid w:val="00B41894"/>
    <w:rsid w:val="00B41B34"/>
    <w:rsid w:val="00B41D95"/>
    <w:rsid w:val="00B41F7E"/>
    <w:rsid w:val="00B427E4"/>
    <w:rsid w:val="00B42879"/>
    <w:rsid w:val="00B42AA8"/>
    <w:rsid w:val="00B42B9A"/>
    <w:rsid w:val="00B430D3"/>
    <w:rsid w:val="00B432D4"/>
    <w:rsid w:val="00B432E5"/>
    <w:rsid w:val="00B436E9"/>
    <w:rsid w:val="00B437BD"/>
    <w:rsid w:val="00B43985"/>
    <w:rsid w:val="00B439FA"/>
    <w:rsid w:val="00B43D4D"/>
    <w:rsid w:val="00B440CF"/>
    <w:rsid w:val="00B44395"/>
    <w:rsid w:val="00B443C5"/>
    <w:rsid w:val="00B4485B"/>
    <w:rsid w:val="00B45220"/>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6DA"/>
    <w:rsid w:val="00B5475E"/>
    <w:rsid w:val="00B54989"/>
    <w:rsid w:val="00B553CF"/>
    <w:rsid w:val="00B555B8"/>
    <w:rsid w:val="00B55ACA"/>
    <w:rsid w:val="00B5612F"/>
    <w:rsid w:val="00B566E0"/>
    <w:rsid w:val="00B5685D"/>
    <w:rsid w:val="00B56872"/>
    <w:rsid w:val="00B57861"/>
    <w:rsid w:val="00B57AF0"/>
    <w:rsid w:val="00B607B8"/>
    <w:rsid w:val="00B60843"/>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15D"/>
    <w:rsid w:val="00B662BC"/>
    <w:rsid w:val="00B664EC"/>
    <w:rsid w:val="00B66801"/>
    <w:rsid w:val="00B6796C"/>
    <w:rsid w:val="00B67B2B"/>
    <w:rsid w:val="00B67D4A"/>
    <w:rsid w:val="00B67E2E"/>
    <w:rsid w:val="00B70333"/>
    <w:rsid w:val="00B70A49"/>
    <w:rsid w:val="00B70B07"/>
    <w:rsid w:val="00B70E80"/>
    <w:rsid w:val="00B70EDB"/>
    <w:rsid w:val="00B71A5D"/>
    <w:rsid w:val="00B71FB8"/>
    <w:rsid w:val="00B72184"/>
    <w:rsid w:val="00B7273B"/>
    <w:rsid w:val="00B727B8"/>
    <w:rsid w:val="00B72C85"/>
    <w:rsid w:val="00B73259"/>
    <w:rsid w:val="00B73453"/>
    <w:rsid w:val="00B737C7"/>
    <w:rsid w:val="00B73AFC"/>
    <w:rsid w:val="00B741DB"/>
    <w:rsid w:val="00B74798"/>
    <w:rsid w:val="00B74A0D"/>
    <w:rsid w:val="00B74EC0"/>
    <w:rsid w:val="00B75667"/>
    <w:rsid w:val="00B75C09"/>
    <w:rsid w:val="00B75DDB"/>
    <w:rsid w:val="00B766BC"/>
    <w:rsid w:val="00B76727"/>
    <w:rsid w:val="00B77062"/>
    <w:rsid w:val="00B7709F"/>
    <w:rsid w:val="00B774CC"/>
    <w:rsid w:val="00B77D8A"/>
    <w:rsid w:val="00B8053A"/>
    <w:rsid w:val="00B8053B"/>
    <w:rsid w:val="00B80579"/>
    <w:rsid w:val="00B80795"/>
    <w:rsid w:val="00B80F5B"/>
    <w:rsid w:val="00B81578"/>
    <w:rsid w:val="00B81684"/>
    <w:rsid w:val="00B816C7"/>
    <w:rsid w:val="00B817F4"/>
    <w:rsid w:val="00B8206A"/>
    <w:rsid w:val="00B821AB"/>
    <w:rsid w:val="00B8222C"/>
    <w:rsid w:val="00B830F7"/>
    <w:rsid w:val="00B8321E"/>
    <w:rsid w:val="00B83AC3"/>
    <w:rsid w:val="00B83DF6"/>
    <w:rsid w:val="00B8408E"/>
    <w:rsid w:val="00B84BE8"/>
    <w:rsid w:val="00B858AA"/>
    <w:rsid w:val="00B8596E"/>
    <w:rsid w:val="00B85E03"/>
    <w:rsid w:val="00B85F67"/>
    <w:rsid w:val="00B85FC4"/>
    <w:rsid w:val="00B86557"/>
    <w:rsid w:val="00B86734"/>
    <w:rsid w:val="00B8692C"/>
    <w:rsid w:val="00B86BDC"/>
    <w:rsid w:val="00B874FB"/>
    <w:rsid w:val="00B8761A"/>
    <w:rsid w:val="00B8769E"/>
    <w:rsid w:val="00B904CA"/>
    <w:rsid w:val="00B90DC8"/>
    <w:rsid w:val="00B91356"/>
    <w:rsid w:val="00B918B5"/>
    <w:rsid w:val="00B91E0F"/>
    <w:rsid w:val="00B926E0"/>
    <w:rsid w:val="00B928B6"/>
    <w:rsid w:val="00B92FE9"/>
    <w:rsid w:val="00B93535"/>
    <w:rsid w:val="00B93B55"/>
    <w:rsid w:val="00B93C36"/>
    <w:rsid w:val="00B94054"/>
    <w:rsid w:val="00B94253"/>
    <w:rsid w:val="00B9436E"/>
    <w:rsid w:val="00B94E32"/>
    <w:rsid w:val="00B950E8"/>
    <w:rsid w:val="00B95242"/>
    <w:rsid w:val="00B9547E"/>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7C4"/>
    <w:rsid w:val="00BA1881"/>
    <w:rsid w:val="00BA1C20"/>
    <w:rsid w:val="00BA2533"/>
    <w:rsid w:val="00BA270E"/>
    <w:rsid w:val="00BA2729"/>
    <w:rsid w:val="00BA283C"/>
    <w:rsid w:val="00BA2AEB"/>
    <w:rsid w:val="00BA2DED"/>
    <w:rsid w:val="00BA2E91"/>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A8A"/>
    <w:rsid w:val="00BB3D11"/>
    <w:rsid w:val="00BB3F4C"/>
    <w:rsid w:val="00BB3F8F"/>
    <w:rsid w:val="00BB424D"/>
    <w:rsid w:val="00BB4A42"/>
    <w:rsid w:val="00BB5312"/>
    <w:rsid w:val="00BB5321"/>
    <w:rsid w:val="00BB56F2"/>
    <w:rsid w:val="00BB56F3"/>
    <w:rsid w:val="00BB5A0A"/>
    <w:rsid w:val="00BB61DC"/>
    <w:rsid w:val="00BB63BC"/>
    <w:rsid w:val="00BB6431"/>
    <w:rsid w:val="00BB6472"/>
    <w:rsid w:val="00BB6C81"/>
    <w:rsid w:val="00BB7174"/>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46A"/>
    <w:rsid w:val="00BC499E"/>
    <w:rsid w:val="00BC5CE2"/>
    <w:rsid w:val="00BC642E"/>
    <w:rsid w:val="00BC70D5"/>
    <w:rsid w:val="00BC71C5"/>
    <w:rsid w:val="00BC7659"/>
    <w:rsid w:val="00BC77C9"/>
    <w:rsid w:val="00BC7A42"/>
    <w:rsid w:val="00BD013E"/>
    <w:rsid w:val="00BD082C"/>
    <w:rsid w:val="00BD0DED"/>
    <w:rsid w:val="00BD0FC4"/>
    <w:rsid w:val="00BD140B"/>
    <w:rsid w:val="00BD238C"/>
    <w:rsid w:val="00BD283B"/>
    <w:rsid w:val="00BD2A08"/>
    <w:rsid w:val="00BD2E68"/>
    <w:rsid w:val="00BD2F55"/>
    <w:rsid w:val="00BD317C"/>
    <w:rsid w:val="00BD3837"/>
    <w:rsid w:val="00BD386B"/>
    <w:rsid w:val="00BD3C69"/>
    <w:rsid w:val="00BD3D7A"/>
    <w:rsid w:val="00BD3E93"/>
    <w:rsid w:val="00BD489B"/>
    <w:rsid w:val="00BD52CA"/>
    <w:rsid w:val="00BD5A26"/>
    <w:rsid w:val="00BD5FA4"/>
    <w:rsid w:val="00BD6509"/>
    <w:rsid w:val="00BD689C"/>
    <w:rsid w:val="00BD6A22"/>
    <w:rsid w:val="00BD7A82"/>
    <w:rsid w:val="00BD7F9E"/>
    <w:rsid w:val="00BE072F"/>
    <w:rsid w:val="00BE0BCE"/>
    <w:rsid w:val="00BE0DA0"/>
    <w:rsid w:val="00BE113C"/>
    <w:rsid w:val="00BE13B8"/>
    <w:rsid w:val="00BE16C6"/>
    <w:rsid w:val="00BE1959"/>
    <w:rsid w:val="00BE197A"/>
    <w:rsid w:val="00BE1A06"/>
    <w:rsid w:val="00BE269D"/>
    <w:rsid w:val="00BE28FE"/>
    <w:rsid w:val="00BE312F"/>
    <w:rsid w:val="00BE3704"/>
    <w:rsid w:val="00BE3EA0"/>
    <w:rsid w:val="00BE3F97"/>
    <w:rsid w:val="00BE403F"/>
    <w:rsid w:val="00BE4564"/>
    <w:rsid w:val="00BE475F"/>
    <w:rsid w:val="00BE49FE"/>
    <w:rsid w:val="00BE5519"/>
    <w:rsid w:val="00BE5594"/>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2E49"/>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298"/>
    <w:rsid w:val="00C023FA"/>
    <w:rsid w:val="00C02463"/>
    <w:rsid w:val="00C02CDE"/>
    <w:rsid w:val="00C039B6"/>
    <w:rsid w:val="00C03B7B"/>
    <w:rsid w:val="00C03C70"/>
    <w:rsid w:val="00C04431"/>
    <w:rsid w:val="00C04803"/>
    <w:rsid w:val="00C04847"/>
    <w:rsid w:val="00C057E0"/>
    <w:rsid w:val="00C05863"/>
    <w:rsid w:val="00C05ACD"/>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405"/>
    <w:rsid w:val="00C13504"/>
    <w:rsid w:val="00C13C8A"/>
    <w:rsid w:val="00C13F22"/>
    <w:rsid w:val="00C13F33"/>
    <w:rsid w:val="00C140FE"/>
    <w:rsid w:val="00C15135"/>
    <w:rsid w:val="00C159ED"/>
    <w:rsid w:val="00C1662C"/>
    <w:rsid w:val="00C17099"/>
    <w:rsid w:val="00C1715D"/>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7B"/>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4D4"/>
    <w:rsid w:val="00C36DAD"/>
    <w:rsid w:val="00C36F04"/>
    <w:rsid w:val="00C37050"/>
    <w:rsid w:val="00C37493"/>
    <w:rsid w:val="00C37BD3"/>
    <w:rsid w:val="00C37F07"/>
    <w:rsid w:val="00C37F85"/>
    <w:rsid w:val="00C37F8D"/>
    <w:rsid w:val="00C4018E"/>
    <w:rsid w:val="00C40250"/>
    <w:rsid w:val="00C404D5"/>
    <w:rsid w:val="00C40B7D"/>
    <w:rsid w:val="00C41EEA"/>
    <w:rsid w:val="00C42130"/>
    <w:rsid w:val="00C42784"/>
    <w:rsid w:val="00C429E1"/>
    <w:rsid w:val="00C439F0"/>
    <w:rsid w:val="00C43CE7"/>
    <w:rsid w:val="00C44189"/>
    <w:rsid w:val="00C4464F"/>
    <w:rsid w:val="00C447FB"/>
    <w:rsid w:val="00C44ADA"/>
    <w:rsid w:val="00C45A9C"/>
    <w:rsid w:val="00C45F67"/>
    <w:rsid w:val="00C46B53"/>
    <w:rsid w:val="00C470AA"/>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707E"/>
    <w:rsid w:val="00C57412"/>
    <w:rsid w:val="00C57CC6"/>
    <w:rsid w:val="00C601EB"/>
    <w:rsid w:val="00C60EC1"/>
    <w:rsid w:val="00C6151B"/>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6775C"/>
    <w:rsid w:val="00C7040D"/>
    <w:rsid w:val="00C70B8C"/>
    <w:rsid w:val="00C71468"/>
    <w:rsid w:val="00C719A5"/>
    <w:rsid w:val="00C71DCC"/>
    <w:rsid w:val="00C72048"/>
    <w:rsid w:val="00C721B5"/>
    <w:rsid w:val="00C723AF"/>
    <w:rsid w:val="00C7276F"/>
    <w:rsid w:val="00C72EF5"/>
    <w:rsid w:val="00C732C5"/>
    <w:rsid w:val="00C7357D"/>
    <w:rsid w:val="00C740FD"/>
    <w:rsid w:val="00C74157"/>
    <w:rsid w:val="00C7448E"/>
    <w:rsid w:val="00C748E2"/>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25A9"/>
    <w:rsid w:val="00C82A50"/>
    <w:rsid w:val="00C831D1"/>
    <w:rsid w:val="00C83843"/>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853"/>
    <w:rsid w:val="00C95962"/>
    <w:rsid w:val="00C95CD4"/>
    <w:rsid w:val="00C96FE0"/>
    <w:rsid w:val="00C973DF"/>
    <w:rsid w:val="00C97AF1"/>
    <w:rsid w:val="00CA075D"/>
    <w:rsid w:val="00CA09AA"/>
    <w:rsid w:val="00CA0BAF"/>
    <w:rsid w:val="00CA114D"/>
    <w:rsid w:val="00CA1225"/>
    <w:rsid w:val="00CA18D2"/>
    <w:rsid w:val="00CA1FA8"/>
    <w:rsid w:val="00CA2919"/>
    <w:rsid w:val="00CA2C56"/>
    <w:rsid w:val="00CA3F92"/>
    <w:rsid w:val="00CA4541"/>
    <w:rsid w:val="00CA4A3F"/>
    <w:rsid w:val="00CA4C14"/>
    <w:rsid w:val="00CA4FE7"/>
    <w:rsid w:val="00CA51A0"/>
    <w:rsid w:val="00CA56DB"/>
    <w:rsid w:val="00CA5B03"/>
    <w:rsid w:val="00CA5F22"/>
    <w:rsid w:val="00CA6164"/>
    <w:rsid w:val="00CA6DAA"/>
    <w:rsid w:val="00CA73B2"/>
    <w:rsid w:val="00CA74E8"/>
    <w:rsid w:val="00CA79AB"/>
    <w:rsid w:val="00CB047F"/>
    <w:rsid w:val="00CB0C2A"/>
    <w:rsid w:val="00CB11BD"/>
    <w:rsid w:val="00CB1368"/>
    <w:rsid w:val="00CB1C5E"/>
    <w:rsid w:val="00CB1F2A"/>
    <w:rsid w:val="00CB2173"/>
    <w:rsid w:val="00CB2836"/>
    <w:rsid w:val="00CB2E9A"/>
    <w:rsid w:val="00CB464B"/>
    <w:rsid w:val="00CB480A"/>
    <w:rsid w:val="00CB4FA5"/>
    <w:rsid w:val="00CB558B"/>
    <w:rsid w:val="00CB58DD"/>
    <w:rsid w:val="00CB5A9F"/>
    <w:rsid w:val="00CB5EF8"/>
    <w:rsid w:val="00CB6343"/>
    <w:rsid w:val="00CB68B3"/>
    <w:rsid w:val="00CB6A72"/>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065"/>
    <w:rsid w:val="00CC4365"/>
    <w:rsid w:val="00CC4BC4"/>
    <w:rsid w:val="00CC4C5E"/>
    <w:rsid w:val="00CC4CCF"/>
    <w:rsid w:val="00CC4F58"/>
    <w:rsid w:val="00CC57AE"/>
    <w:rsid w:val="00CC5C59"/>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2F1"/>
    <w:rsid w:val="00CD6789"/>
    <w:rsid w:val="00CD6814"/>
    <w:rsid w:val="00CD6E0B"/>
    <w:rsid w:val="00CD787F"/>
    <w:rsid w:val="00CD7984"/>
    <w:rsid w:val="00CE01FB"/>
    <w:rsid w:val="00CE025E"/>
    <w:rsid w:val="00CE030D"/>
    <w:rsid w:val="00CE03B6"/>
    <w:rsid w:val="00CE05F2"/>
    <w:rsid w:val="00CE0CBF"/>
    <w:rsid w:val="00CE112E"/>
    <w:rsid w:val="00CE1162"/>
    <w:rsid w:val="00CE1225"/>
    <w:rsid w:val="00CE1255"/>
    <w:rsid w:val="00CE132D"/>
    <w:rsid w:val="00CE152F"/>
    <w:rsid w:val="00CE1E1C"/>
    <w:rsid w:val="00CE212D"/>
    <w:rsid w:val="00CE253D"/>
    <w:rsid w:val="00CE2561"/>
    <w:rsid w:val="00CE3257"/>
    <w:rsid w:val="00CE53B2"/>
    <w:rsid w:val="00CE5E50"/>
    <w:rsid w:val="00CE5EA6"/>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8EF"/>
    <w:rsid w:val="00CF6A68"/>
    <w:rsid w:val="00CF6AF3"/>
    <w:rsid w:val="00CF6C9A"/>
    <w:rsid w:val="00CF6F64"/>
    <w:rsid w:val="00CF7CCF"/>
    <w:rsid w:val="00CF7E46"/>
    <w:rsid w:val="00D00522"/>
    <w:rsid w:val="00D00B22"/>
    <w:rsid w:val="00D017EE"/>
    <w:rsid w:val="00D0182B"/>
    <w:rsid w:val="00D0186E"/>
    <w:rsid w:val="00D01C73"/>
    <w:rsid w:val="00D01D5E"/>
    <w:rsid w:val="00D02261"/>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AA0"/>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79A"/>
    <w:rsid w:val="00D14EC6"/>
    <w:rsid w:val="00D15CDC"/>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F01"/>
    <w:rsid w:val="00D30C46"/>
    <w:rsid w:val="00D30FC7"/>
    <w:rsid w:val="00D30FEB"/>
    <w:rsid w:val="00D31B9F"/>
    <w:rsid w:val="00D31BEA"/>
    <w:rsid w:val="00D3223B"/>
    <w:rsid w:val="00D32B6E"/>
    <w:rsid w:val="00D33313"/>
    <w:rsid w:val="00D33410"/>
    <w:rsid w:val="00D33AB3"/>
    <w:rsid w:val="00D33AFC"/>
    <w:rsid w:val="00D3410B"/>
    <w:rsid w:val="00D343A9"/>
    <w:rsid w:val="00D344C9"/>
    <w:rsid w:val="00D353FF"/>
    <w:rsid w:val="00D35BD6"/>
    <w:rsid w:val="00D3609F"/>
    <w:rsid w:val="00D3610A"/>
    <w:rsid w:val="00D3646C"/>
    <w:rsid w:val="00D3660A"/>
    <w:rsid w:val="00D3668C"/>
    <w:rsid w:val="00D368B9"/>
    <w:rsid w:val="00D369EA"/>
    <w:rsid w:val="00D36C8E"/>
    <w:rsid w:val="00D375C4"/>
    <w:rsid w:val="00D37C2D"/>
    <w:rsid w:val="00D404CE"/>
    <w:rsid w:val="00D40D8B"/>
    <w:rsid w:val="00D40E25"/>
    <w:rsid w:val="00D40E78"/>
    <w:rsid w:val="00D41009"/>
    <w:rsid w:val="00D41901"/>
    <w:rsid w:val="00D41CD0"/>
    <w:rsid w:val="00D421D9"/>
    <w:rsid w:val="00D422E4"/>
    <w:rsid w:val="00D429A4"/>
    <w:rsid w:val="00D429DA"/>
    <w:rsid w:val="00D42B71"/>
    <w:rsid w:val="00D4339D"/>
    <w:rsid w:val="00D43488"/>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45F"/>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8C6"/>
    <w:rsid w:val="00D56C31"/>
    <w:rsid w:val="00D56D65"/>
    <w:rsid w:val="00D572B2"/>
    <w:rsid w:val="00D57412"/>
    <w:rsid w:val="00D578C5"/>
    <w:rsid w:val="00D57C20"/>
    <w:rsid w:val="00D57F0A"/>
    <w:rsid w:val="00D6009F"/>
    <w:rsid w:val="00D600BE"/>
    <w:rsid w:val="00D60207"/>
    <w:rsid w:val="00D60BCB"/>
    <w:rsid w:val="00D60CB2"/>
    <w:rsid w:val="00D60DD4"/>
    <w:rsid w:val="00D61278"/>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13C"/>
    <w:rsid w:val="00D662E2"/>
    <w:rsid w:val="00D66DAA"/>
    <w:rsid w:val="00D67090"/>
    <w:rsid w:val="00D7010A"/>
    <w:rsid w:val="00D7040B"/>
    <w:rsid w:val="00D708D7"/>
    <w:rsid w:val="00D70B22"/>
    <w:rsid w:val="00D70F5E"/>
    <w:rsid w:val="00D70F87"/>
    <w:rsid w:val="00D7123A"/>
    <w:rsid w:val="00D71E14"/>
    <w:rsid w:val="00D731CC"/>
    <w:rsid w:val="00D73347"/>
    <w:rsid w:val="00D73373"/>
    <w:rsid w:val="00D73A3C"/>
    <w:rsid w:val="00D73A6B"/>
    <w:rsid w:val="00D73DAD"/>
    <w:rsid w:val="00D73E0D"/>
    <w:rsid w:val="00D74073"/>
    <w:rsid w:val="00D74461"/>
    <w:rsid w:val="00D7480B"/>
    <w:rsid w:val="00D748E0"/>
    <w:rsid w:val="00D74AD0"/>
    <w:rsid w:val="00D74AF7"/>
    <w:rsid w:val="00D74EA0"/>
    <w:rsid w:val="00D7505F"/>
    <w:rsid w:val="00D7568F"/>
    <w:rsid w:val="00D75757"/>
    <w:rsid w:val="00D75843"/>
    <w:rsid w:val="00D758A0"/>
    <w:rsid w:val="00D758A1"/>
    <w:rsid w:val="00D75CD8"/>
    <w:rsid w:val="00D75E85"/>
    <w:rsid w:val="00D7619E"/>
    <w:rsid w:val="00D761CB"/>
    <w:rsid w:val="00D7630D"/>
    <w:rsid w:val="00D76615"/>
    <w:rsid w:val="00D76A4B"/>
    <w:rsid w:val="00D76AC0"/>
    <w:rsid w:val="00D76DDA"/>
    <w:rsid w:val="00D76E83"/>
    <w:rsid w:val="00D771C9"/>
    <w:rsid w:val="00D774D4"/>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591"/>
    <w:rsid w:val="00D946EF"/>
    <w:rsid w:val="00D948A0"/>
    <w:rsid w:val="00D94BB0"/>
    <w:rsid w:val="00D94FF3"/>
    <w:rsid w:val="00D95218"/>
    <w:rsid w:val="00D957C0"/>
    <w:rsid w:val="00D9588C"/>
    <w:rsid w:val="00D95BF0"/>
    <w:rsid w:val="00D95BFF"/>
    <w:rsid w:val="00D95FD2"/>
    <w:rsid w:val="00D96193"/>
    <w:rsid w:val="00D96DD2"/>
    <w:rsid w:val="00D97E86"/>
    <w:rsid w:val="00DA0241"/>
    <w:rsid w:val="00DA04BA"/>
    <w:rsid w:val="00DA0CF2"/>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22E"/>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19"/>
    <w:rsid w:val="00DC4E9C"/>
    <w:rsid w:val="00DC522F"/>
    <w:rsid w:val="00DC588E"/>
    <w:rsid w:val="00DC65D8"/>
    <w:rsid w:val="00DC6A94"/>
    <w:rsid w:val="00DC7073"/>
    <w:rsid w:val="00DC70ED"/>
    <w:rsid w:val="00DC71BC"/>
    <w:rsid w:val="00DC765F"/>
    <w:rsid w:val="00DC76BF"/>
    <w:rsid w:val="00DC76D2"/>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536D"/>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1BEC"/>
    <w:rsid w:val="00E028E6"/>
    <w:rsid w:val="00E02C20"/>
    <w:rsid w:val="00E0306A"/>
    <w:rsid w:val="00E032C1"/>
    <w:rsid w:val="00E03641"/>
    <w:rsid w:val="00E0380A"/>
    <w:rsid w:val="00E039C0"/>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3E9"/>
    <w:rsid w:val="00E114B9"/>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3A"/>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A7"/>
    <w:rsid w:val="00E278E6"/>
    <w:rsid w:val="00E30517"/>
    <w:rsid w:val="00E3070A"/>
    <w:rsid w:val="00E30A72"/>
    <w:rsid w:val="00E31371"/>
    <w:rsid w:val="00E31506"/>
    <w:rsid w:val="00E31ED9"/>
    <w:rsid w:val="00E327EE"/>
    <w:rsid w:val="00E32E0E"/>
    <w:rsid w:val="00E335A8"/>
    <w:rsid w:val="00E33802"/>
    <w:rsid w:val="00E33814"/>
    <w:rsid w:val="00E339C6"/>
    <w:rsid w:val="00E33BB9"/>
    <w:rsid w:val="00E33E4D"/>
    <w:rsid w:val="00E3457A"/>
    <w:rsid w:val="00E34F08"/>
    <w:rsid w:val="00E35270"/>
    <w:rsid w:val="00E35F47"/>
    <w:rsid w:val="00E362BC"/>
    <w:rsid w:val="00E37691"/>
    <w:rsid w:val="00E377BF"/>
    <w:rsid w:val="00E37C25"/>
    <w:rsid w:val="00E402AF"/>
    <w:rsid w:val="00E40362"/>
    <w:rsid w:val="00E40A1F"/>
    <w:rsid w:val="00E40DAE"/>
    <w:rsid w:val="00E4167E"/>
    <w:rsid w:val="00E41A36"/>
    <w:rsid w:val="00E41A3E"/>
    <w:rsid w:val="00E41B6A"/>
    <w:rsid w:val="00E41D2F"/>
    <w:rsid w:val="00E41E5C"/>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7BC"/>
    <w:rsid w:val="00E47878"/>
    <w:rsid w:val="00E47B8B"/>
    <w:rsid w:val="00E47D5F"/>
    <w:rsid w:val="00E47D96"/>
    <w:rsid w:val="00E50F59"/>
    <w:rsid w:val="00E51548"/>
    <w:rsid w:val="00E515A3"/>
    <w:rsid w:val="00E51E23"/>
    <w:rsid w:val="00E52729"/>
    <w:rsid w:val="00E52CCE"/>
    <w:rsid w:val="00E52F76"/>
    <w:rsid w:val="00E530E1"/>
    <w:rsid w:val="00E5315C"/>
    <w:rsid w:val="00E53613"/>
    <w:rsid w:val="00E538E0"/>
    <w:rsid w:val="00E53BEB"/>
    <w:rsid w:val="00E54D33"/>
    <w:rsid w:val="00E55696"/>
    <w:rsid w:val="00E5671D"/>
    <w:rsid w:val="00E5711F"/>
    <w:rsid w:val="00E572BF"/>
    <w:rsid w:val="00E5765B"/>
    <w:rsid w:val="00E6000E"/>
    <w:rsid w:val="00E602C9"/>
    <w:rsid w:val="00E604D6"/>
    <w:rsid w:val="00E6051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67255"/>
    <w:rsid w:val="00E7056D"/>
    <w:rsid w:val="00E705E5"/>
    <w:rsid w:val="00E70B0C"/>
    <w:rsid w:val="00E71238"/>
    <w:rsid w:val="00E713C7"/>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476B"/>
    <w:rsid w:val="00E74B5A"/>
    <w:rsid w:val="00E74D68"/>
    <w:rsid w:val="00E74DDD"/>
    <w:rsid w:val="00E7524F"/>
    <w:rsid w:val="00E752A8"/>
    <w:rsid w:val="00E7556D"/>
    <w:rsid w:val="00E756FB"/>
    <w:rsid w:val="00E75F9B"/>
    <w:rsid w:val="00E76141"/>
    <w:rsid w:val="00E76270"/>
    <w:rsid w:val="00E76316"/>
    <w:rsid w:val="00E7643A"/>
    <w:rsid w:val="00E76ED7"/>
    <w:rsid w:val="00E77040"/>
    <w:rsid w:val="00E773D4"/>
    <w:rsid w:val="00E7797B"/>
    <w:rsid w:val="00E77C66"/>
    <w:rsid w:val="00E77DEB"/>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5EAE"/>
    <w:rsid w:val="00E9627E"/>
    <w:rsid w:val="00E96424"/>
    <w:rsid w:val="00E9647E"/>
    <w:rsid w:val="00E9694A"/>
    <w:rsid w:val="00E96C84"/>
    <w:rsid w:val="00E96FBC"/>
    <w:rsid w:val="00E9738B"/>
    <w:rsid w:val="00E97507"/>
    <w:rsid w:val="00E97A64"/>
    <w:rsid w:val="00EA01CD"/>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5899"/>
    <w:rsid w:val="00EA6506"/>
    <w:rsid w:val="00EA708C"/>
    <w:rsid w:val="00EA71F1"/>
    <w:rsid w:val="00EA7A7E"/>
    <w:rsid w:val="00EA7AF2"/>
    <w:rsid w:val="00EA7C2F"/>
    <w:rsid w:val="00EA7CE6"/>
    <w:rsid w:val="00EA7E15"/>
    <w:rsid w:val="00EA7E9E"/>
    <w:rsid w:val="00EA7EF5"/>
    <w:rsid w:val="00EA7F1F"/>
    <w:rsid w:val="00EB0073"/>
    <w:rsid w:val="00EB05DC"/>
    <w:rsid w:val="00EB06F0"/>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5FA"/>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D83"/>
    <w:rsid w:val="00EC2E21"/>
    <w:rsid w:val="00EC331F"/>
    <w:rsid w:val="00EC3357"/>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1B21"/>
    <w:rsid w:val="00ED1FB2"/>
    <w:rsid w:val="00ED24AE"/>
    <w:rsid w:val="00ED2FF1"/>
    <w:rsid w:val="00ED3207"/>
    <w:rsid w:val="00ED32E7"/>
    <w:rsid w:val="00ED3534"/>
    <w:rsid w:val="00ED35B9"/>
    <w:rsid w:val="00ED38D7"/>
    <w:rsid w:val="00ED3B7D"/>
    <w:rsid w:val="00ED5122"/>
    <w:rsid w:val="00ED54F7"/>
    <w:rsid w:val="00ED5536"/>
    <w:rsid w:val="00ED58F2"/>
    <w:rsid w:val="00EE05A5"/>
    <w:rsid w:val="00EE08BC"/>
    <w:rsid w:val="00EE09EA"/>
    <w:rsid w:val="00EE0A49"/>
    <w:rsid w:val="00EE0E09"/>
    <w:rsid w:val="00EE1035"/>
    <w:rsid w:val="00EE12DA"/>
    <w:rsid w:val="00EE15CA"/>
    <w:rsid w:val="00EE18BB"/>
    <w:rsid w:val="00EE1CDA"/>
    <w:rsid w:val="00EE24B7"/>
    <w:rsid w:val="00EE2834"/>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3EB"/>
    <w:rsid w:val="00EF6EF5"/>
    <w:rsid w:val="00EF6F8C"/>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CAE"/>
    <w:rsid w:val="00F06F02"/>
    <w:rsid w:val="00F076BD"/>
    <w:rsid w:val="00F10437"/>
    <w:rsid w:val="00F10465"/>
    <w:rsid w:val="00F1054B"/>
    <w:rsid w:val="00F1082E"/>
    <w:rsid w:val="00F10864"/>
    <w:rsid w:val="00F108F5"/>
    <w:rsid w:val="00F114EA"/>
    <w:rsid w:val="00F1165E"/>
    <w:rsid w:val="00F11CF5"/>
    <w:rsid w:val="00F124CB"/>
    <w:rsid w:val="00F12551"/>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B72"/>
    <w:rsid w:val="00F22C96"/>
    <w:rsid w:val="00F2357F"/>
    <w:rsid w:val="00F23B1F"/>
    <w:rsid w:val="00F23BD0"/>
    <w:rsid w:val="00F23FCA"/>
    <w:rsid w:val="00F2404F"/>
    <w:rsid w:val="00F244C0"/>
    <w:rsid w:val="00F2456B"/>
    <w:rsid w:val="00F24A57"/>
    <w:rsid w:val="00F24C91"/>
    <w:rsid w:val="00F24F4D"/>
    <w:rsid w:val="00F24FA0"/>
    <w:rsid w:val="00F250CE"/>
    <w:rsid w:val="00F25157"/>
    <w:rsid w:val="00F256FA"/>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7D8"/>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4C15"/>
    <w:rsid w:val="00F45461"/>
    <w:rsid w:val="00F465C1"/>
    <w:rsid w:val="00F4678D"/>
    <w:rsid w:val="00F467B0"/>
    <w:rsid w:val="00F46C63"/>
    <w:rsid w:val="00F46E40"/>
    <w:rsid w:val="00F46F8B"/>
    <w:rsid w:val="00F47132"/>
    <w:rsid w:val="00F47728"/>
    <w:rsid w:val="00F47AFE"/>
    <w:rsid w:val="00F47CBA"/>
    <w:rsid w:val="00F50020"/>
    <w:rsid w:val="00F50545"/>
    <w:rsid w:val="00F50671"/>
    <w:rsid w:val="00F50849"/>
    <w:rsid w:val="00F513BA"/>
    <w:rsid w:val="00F513D1"/>
    <w:rsid w:val="00F51447"/>
    <w:rsid w:val="00F514EF"/>
    <w:rsid w:val="00F51621"/>
    <w:rsid w:val="00F516F4"/>
    <w:rsid w:val="00F51BB2"/>
    <w:rsid w:val="00F524FD"/>
    <w:rsid w:val="00F52756"/>
    <w:rsid w:val="00F5290B"/>
    <w:rsid w:val="00F52A47"/>
    <w:rsid w:val="00F52A4B"/>
    <w:rsid w:val="00F52C6C"/>
    <w:rsid w:val="00F52FA8"/>
    <w:rsid w:val="00F538CD"/>
    <w:rsid w:val="00F54192"/>
    <w:rsid w:val="00F542D8"/>
    <w:rsid w:val="00F548C8"/>
    <w:rsid w:val="00F552B1"/>
    <w:rsid w:val="00F55AC5"/>
    <w:rsid w:val="00F55E60"/>
    <w:rsid w:val="00F56262"/>
    <w:rsid w:val="00F566BC"/>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192"/>
    <w:rsid w:val="00F6433C"/>
    <w:rsid w:val="00F6474A"/>
    <w:rsid w:val="00F64966"/>
    <w:rsid w:val="00F64C57"/>
    <w:rsid w:val="00F64F9F"/>
    <w:rsid w:val="00F65931"/>
    <w:rsid w:val="00F65D36"/>
    <w:rsid w:val="00F660B8"/>
    <w:rsid w:val="00F6647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0C"/>
    <w:rsid w:val="00F75885"/>
    <w:rsid w:val="00F76337"/>
    <w:rsid w:val="00F763DF"/>
    <w:rsid w:val="00F76739"/>
    <w:rsid w:val="00F76B74"/>
    <w:rsid w:val="00F7792A"/>
    <w:rsid w:val="00F77C47"/>
    <w:rsid w:val="00F77CFA"/>
    <w:rsid w:val="00F77D9B"/>
    <w:rsid w:val="00F806D1"/>
    <w:rsid w:val="00F80D8F"/>
    <w:rsid w:val="00F81021"/>
    <w:rsid w:val="00F81094"/>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3A57"/>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6BB"/>
    <w:rsid w:val="00F93A3D"/>
    <w:rsid w:val="00F93CFA"/>
    <w:rsid w:val="00F93D13"/>
    <w:rsid w:val="00F93EE6"/>
    <w:rsid w:val="00F94003"/>
    <w:rsid w:val="00F94255"/>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A5E"/>
    <w:rsid w:val="00FA1CBF"/>
    <w:rsid w:val="00FA1D8F"/>
    <w:rsid w:val="00FA2002"/>
    <w:rsid w:val="00FA24F9"/>
    <w:rsid w:val="00FA2526"/>
    <w:rsid w:val="00FA2839"/>
    <w:rsid w:val="00FA2AB0"/>
    <w:rsid w:val="00FA3C84"/>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004"/>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9DD"/>
    <w:rsid w:val="00FC6B41"/>
    <w:rsid w:val="00FC7308"/>
    <w:rsid w:val="00FC75DC"/>
    <w:rsid w:val="00FC7F67"/>
    <w:rsid w:val="00FC7F93"/>
    <w:rsid w:val="00FD10D2"/>
    <w:rsid w:val="00FD111E"/>
    <w:rsid w:val="00FD14E4"/>
    <w:rsid w:val="00FD1DB3"/>
    <w:rsid w:val="00FD2804"/>
    <w:rsid w:val="00FD282A"/>
    <w:rsid w:val="00FD2A71"/>
    <w:rsid w:val="00FD3905"/>
    <w:rsid w:val="00FD4620"/>
    <w:rsid w:val="00FD48FE"/>
    <w:rsid w:val="00FD4CC0"/>
    <w:rsid w:val="00FD4D4E"/>
    <w:rsid w:val="00FD5E8D"/>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55"/>
    <w:rsid w:val="00FE20AB"/>
    <w:rsid w:val="00FE22FE"/>
    <w:rsid w:val="00FE2B7B"/>
    <w:rsid w:val="00FE2CC6"/>
    <w:rsid w:val="00FE3100"/>
    <w:rsid w:val="00FE3439"/>
    <w:rsid w:val="00FE3768"/>
    <w:rsid w:val="00FE499C"/>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694"/>
    <w:rsid w:val="00FF0AB1"/>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 w:val="00FF7FCA"/>
    <w:rsid w:val="011856C0"/>
    <w:rsid w:val="01255333"/>
    <w:rsid w:val="012A3F79"/>
    <w:rsid w:val="0153304D"/>
    <w:rsid w:val="019D0B30"/>
    <w:rsid w:val="019F3E5A"/>
    <w:rsid w:val="01CE1D23"/>
    <w:rsid w:val="02116703"/>
    <w:rsid w:val="03540F78"/>
    <w:rsid w:val="039822FA"/>
    <w:rsid w:val="044125EB"/>
    <w:rsid w:val="04652E76"/>
    <w:rsid w:val="04724032"/>
    <w:rsid w:val="04AB61BD"/>
    <w:rsid w:val="04C751E1"/>
    <w:rsid w:val="05041D79"/>
    <w:rsid w:val="05542FC1"/>
    <w:rsid w:val="064258AD"/>
    <w:rsid w:val="06714A97"/>
    <w:rsid w:val="06E8006E"/>
    <w:rsid w:val="071310BA"/>
    <w:rsid w:val="07566350"/>
    <w:rsid w:val="07863F85"/>
    <w:rsid w:val="07A45C22"/>
    <w:rsid w:val="07AF3EA4"/>
    <w:rsid w:val="081C327C"/>
    <w:rsid w:val="08F07423"/>
    <w:rsid w:val="09474F4B"/>
    <w:rsid w:val="096D16CB"/>
    <w:rsid w:val="097A0BFE"/>
    <w:rsid w:val="0A171610"/>
    <w:rsid w:val="0A2D6526"/>
    <w:rsid w:val="0A642624"/>
    <w:rsid w:val="0AAE66BC"/>
    <w:rsid w:val="0B046C3F"/>
    <w:rsid w:val="0D716E57"/>
    <w:rsid w:val="0DA46034"/>
    <w:rsid w:val="0DAD6FA7"/>
    <w:rsid w:val="0DE07AA5"/>
    <w:rsid w:val="0E0A49AC"/>
    <w:rsid w:val="0E2C0BDB"/>
    <w:rsid w:val="0E4D3B54"/>
    <w:rsid w:val="0E7F011F"/>
    <w:rsid w:val="0EA96DAD"/>
    <w:rsid w:val="0EDF499C"/>
    <w:rsid w:val="0F17254B"/>
    <w:rsid w:val="0F3E0370"/>
    <w:rsid w:val="0F6E4ECC"/>
    <w:rsid w:val="101C7562"/>
    <w:rsid w:val="102814BD"/>
    <w:rsid w:val="105A1946"/>
    <w:rsid w:val="10754ECB"/>
    <w:rsid w:val="11783753"/>
    <w:rsid w:val="11E70D19"/>
    <w:rsid w:val="11EE3F15"/>
    <w:rsid w:val="12530223"/>
    <w:rsid w:val="128C6E77"/>
    <w:rsid w:val="12A108C0"/>
    <w:rsid w:val="12A916BC"/>
    <w:rsid w:val="12D13AD1"/>
    <w:rsid w:val="13931340"/>
    <w:rsid w:val="13E77C96"/>
    <w:rsid w:val="1454296F"/>
    <w:rsid w:val="14682335"/>
    <w:rsid w:val="148B3715"/>
    <w:rsid w:val="14BF1216"/>
    <w:rsid w:val="150B7310"/>
    <w:rsid w:val="15CD7B41"/>
    <w:rsid w:val="15D37AE3"/>
    <w:rsid w:val="16301074"/>
    <w:rsid w:val="16F0630B"/>
    <w:rsid w:val="16F134D4"/>
    <w:rsid w:val="17993536"/>
    <w:rsid w:val="17E40A45"/>
    <w:rsid w:val="18114378"/>
    <w:rsid w:val="184A477F"/>
    <w:rsid w:val="189050C0"/>
    <w:rsid w:val="191E2A0C"/>
    <w:rsid w:val="191E612A"/>
    <w:rsid w:val="195D2298"/>
    <w:rsid w:val="19C6694C"/>
    <w:rsid w:val="1A2B2949"/>
    <w:rsid w:val="1A5D4F91"/>
    <w:rsid w:val="1AF07BDC"/>
    <w:rsid w:val="1B277540"/>
    <w:rsid w:val="1B540A71"/>
    <w:rsid w:val="1BAA3CE3"/>
    <w:rsid w:val="1C4B3EB9"/>
    <w:rsid w:val="1C7B5141"/>
    <w:rsid w:val="1C8B71FE"/>
    <w:rsid w:val="1CD339CA"/>
    <w:rsid w:val="1D5A05E2"/>
    <w:rsid w:val="1D7A3700"/>
    <w:rsid w:val="1D8219C5"/>
    <w:rsid w:val="1D832346"/>
    <w:rsid w:val="1D9D4106"/>
    <w:rsid w:val="1DC24294"/>
    <w:rsid w:val="1DD43DB0"/>
    <w:rsid w:val="1DF73F53"/>
    <w:rsid w:val="1E372DEA"/>
    <w:rsid w:val="1E43613E"/>
    <w:rsid w:val="1E624205"/>
    <w:rsid w:val="1EDF5BC8"/>
    <w:rsid w:val="1EDF656C"/>
    <w:rsid w:val="1EF413A7"/>
    <w:rsid w:val="1F195C0A"/>
    <w:rsid w:val="1FC20853"/>
    <w:rsid w:val="1FD54961"/>
    <w:rsid w:val="20102AF9"/>
    <w:rsid w:val="206D3A49"/>
    <w:rsid w:val="20A7383A"/>
    <w:rsid w:val="20AE1AAA"/>
    <w:rsid w:val="20B96638"/>
    <w:rsid w:val="20D90B97"/>
    <w:rsid w:val="21C57208"/>
    <w:rsid w:val="21D65DA8"/>
    <w:rsid w:val="22B77F04"/>
    <w:rsid w:val="22D001AC"/>
    <w:rsid w:val="22DC43A4"/>
    <w:rsid w:val="22EA3499"/>
    <w:rsid w:val="235A027B"/>
    <w:rsid w:val="23884CBC"/>
    <w:rsid w:val="23ED6F75"/>
    <w:rsid w:val="2400377F"/>
    <w:rsid w:val="243E17BB"/>
    <w:rsid w:val="245E409C"/>
    <w:rsid w:val="24FB5872"/>
    <w:rsid w:val="25016C78"/>
    <w:rsid w:val="252E70BF"/>
    <w:rsid w:val="25344A87"/>
    <w:rsid w:val="25A66772"/>
    <w:rsid w:val="25EA4F05"/>
    <w:rsid w:val="262E3DF0"/>
    <w:rsid w:val="265C7235"/>
    <w:rsid w:val="269053BC"/>
    <w:rsid w:val="27A33C92"/>
    <w:rsid w:val="27A92124"/>
    <w:rsid w:val="27EA5DB3"/>
    <w:rsid w:val="28836B29"/>
    <w:rsid w:val="289823E2"/>
    <w:rsid w:val="28AB11DD"/>
    <w:rsid w:val="297745B1"/>
    <w:rsid w:val="2A453F36"/>
    <w:rsid w:val="2B213AC6"/>
    <w:rsid w:val="2B8003F6"/>
    <w:rsid w:val="2BB278FD"/>
    <w:rsid w:val="2BDE4448"/>
    <w:rsid w:val="2C2378BD"/>
    <w:rsid w:val="2C6716D8"/>
    <w:rsid w:val="2C7D41F9"/>
    <w:rsid w:val="2CC91170"/>
    <w:rsid w:val="2D4D682A"/>
    <w:rsid w:val="2D594C15"/>
    <w:rsid w:val="2D6A2FC9"/>
    <w:rsid w:val="2D6B598C"/>
    <w:rsid w:val="2DAD1227"/>
    <w:rsid w:val="2DF7344D"/>
    <w:rsid w:val="2DFB147D"/>
    <w:rsid w:val="2E697D5B"/>
    <w:rsid w:val="2E9C7F52"/>
    <w:rsid w:val="2F440B4A"/>
    <w:rsid w:val="2F646003"/>
    <w:rsid w:val="2FDD1E52"/>
    <w:rsid w:val="30445C08"/>
    <w:rsid w:val="3051035E"/>
    <w:rsid w:val="30815A72"/>
    <w:rsid w:val="30AE32DD"/>
    <w:rsid w:val="30C30477"/>
    <w:rsid w:val="30D86694"/>
    <w:rsid w:val="311E14A9"/>
    <w:rsid w:val="31933C06"/>
    <w:rsid w:val="31E034FF"/>
    <w:rsid w:val="32207950"/>
    <w:rsid w:val="324300D4"/>
    <w:rsid w:val="32655CA9"/>
    <w:rsid w:val="32877CC4"/>
    <w:rsid w:val="337C0EF5"/>
    <w:rsid w:val="340A39D0"/>
    <w:rsid w:val="34A16F29"/>
    <w:rsid w:val="351F7188"/>
    <w:rsid w:val="35694BE0"/>
    <w:rsid w:val="35C73C90"/>
    <w:rsid w:val="36304A22"/>
    <w:rsid w:val="36660A5B"/>
    <w:rsid w:val="36AD5780"/>
    <w:rsid w:val="37200577"/>
    <w:rsid w:val="3779506D"/>
    <w:rsid w:val="37853EF0"/>
    <w:rsid w:val="37C33284"/>
    <w:rsid w:val="37D261C6"/>
    <w:rsid w:val="384B1441"/>
    <w:rsid w:val="390A54AF"/>
    <w:rsid w:val="39294627"/>
    <w:rsid w:val="39595D14"/>
    <w:rsid w:val="397D24E0"/>
    <w:rsid w:val="399A5CBD"/>
    <w:rsid w:val="39E3751D"/>
    <w:rsid w:val="3A117324"/>
    <w:rsid w:val="3A5A4D51"/>
    <w:rsid w:val="3AA77107"/>
    <w:rsid w:val="3ABF28FE"/>
    <w:rsid w:val="3B1F7167"/>
    <w:rsid w:val="3B6F4E50"/>
    <w:rsid w:val="3B926D09"/>
    <w:rsid w:val="3BDC1946"/>
    <w:rsid w:val="3BFE387A"/>
    <w:rsid w:val="3C505FD0"/>
    <w:rsid w:val="3CFA091A"/>
    <w:rsid w:val="3D291B12"/>
    <w:rsid w:val="3D6174CB"/>
    <w:rsid w:val="3D653520"/>
    <w:rsid w:val="3D795BE8"/>
    <w:rsid w:val="3E495DE0"/>
    <w:rsid w:val="3E4B1487"/>
    <w:rsid w:val="3EB82981"/>
    <w:rsid w:val="3EEF5C82"/>
    <w:rsid w:val="3F624DC4"/>
    <w:rsid w:val="3F6E7BAD"/>
    <w:rsid w:val="3FA602D5"/>
    <w:rsid w:val="3FAB25C2"/>
    <w:rsid w:val="3FB44352"/>
    <w:rsid w:val="3FC658C6"/>
    <w:rsid w:val="402A02E4"/>
    <w:rsid w:val="4064044C"/>
    <w:rsid w:val="409F7BAD"/>
    <w:rsid w:val="40B54D3D"/>
    <w:rsid w:val="40BF6CD0"/>
    <w:rsid w:val="419A0720"/>
    <w:rsid w:val="41A93F0F"/>
    <w:rsid w:val="431A21AD"/>
    <w:rsid w:val="43677E24"/>
    <w:rsid w:val="44A75DCE"/>
    <w:rsid w:val="451E778C"/>
    <w:rsid w:val="458D11BE"/>
    <w:rsid w:val="466B4959"/>
    <w:rsid w:val="47197F55"/>
    <w:rsid w:val="473B5BEE"/>
    <w:rsid w:val="4754338D"/>
    <w:rsid w:val="48954D8E"/>
    <w:rsid w:val="496F107B"/>
    <w:rsid w:val="4A054EC3"/>
    <w:rsid w:val="4AD73567"/>
    <w:rsid w:val="4B2B6398"/>
    <w:rsid w:val="4B317A11"/>
    <w:rsid w:val="4B5E364C"/>
    <w:rsid w:val="4C1D7825"/>
    <w:rsid w:val="4C25766B"/>
    <w:rsid w:val="4C663380"/>
    <w:rsid w:val="4C8A3D48"/>
    <w:rsid w:val="4CA42828"/>
    <w:rsid w:val="4CD60B46"/>
    <w:rsid w:val="4E05271A"/>
    <w:rsid w:val="4E88197E"/>
    <w:rsid w:val="4F4C46DC"/>
    <w:rsid w:val="4FA56634"/>
    <w:rsid w:val="4FE16A0B"/>
    <w:rsid w:val="502A0DCB"/>
    <w:rsid w:val="50506CCB"/>
    <w:rsid w:val="506C51C5"/>
    <w:rsid w:val="50804C29"/>
    <w:rsid w:val="51082CB4"/>
    <w:rsid w:val="51417EC8"/>
    <w:rsid w:val="51732ACD"/>
    <w:rsid w:val="51FE00D8"/>
    <w:rsid w:val="532B4257"/>
    <w:rsid w:val="53340F7B"/>
    <w:rsid w:val="535875AF"/>
    <w:rsid w:val="53F47F7C"/>
    <w:rsid w:val="544A1D9D"/>
    <w:rsid w:val="546F57D2"/>
    <w:rsid w:val="54F95E79"/>
    <w:rsid w:val="552B145D"/>
    <w:rsid w:val="554B60AF"/>
    <w:rsid w:val="55680EE0"/>
    <w:rsid w:val="55D50984"/>
    <w:rsid w:val="56D16D6B"/>
    <w:rsid w:val="56FB203D"/>
    <w:rsid w:val="56FE2027"/>
    <w:rsid w:val="56FF30A0"/>
    <w:rsid w:val="5906484F"/>
    <w:rsid w:val="59682827"/>
    <w:rsid w:val="59A87F22"/>
    <w:rsid w:val="59C26E99"/>
    <w:rsid w:val="5A275C9C"/>
    <w:rsid w:val="5A294045"/>
    <w:rsid w:val="5AB92F35"/>
    <w:rsid w:val="5AD24083"/>
    <w:rsid w:val="5AF12E71"/>
    <w:rsid w:val="5B0F7517"/>
    <w:rsid w:val="5B7C235F"/>
    <w:rsid w:val="5C46358D"/>
    <w:rsid w:val="5C5E4C51"/>
    <w:rsid w:val="5CBA3BB1"/>
    <w:rsid w:val="5CC47F64"/>
    <w:rsid w:val="5CE24D1F"/>
    <w:rsid w:val="5D9F73D5"/>
    <w:rsid w:val="5DF20BFE"/>
    <w:rsid w:val="5E4E5CA8"/>
    <w:rsid w:val="5E6A3DE7"/>
    <w:rsid w:val="5EAF3C2A"/>
    <w:rsid w:val="5EC77DF0"/>
    <w:rsid w:val="5F452705"/>
    <w:rsid w:val="5FBC322F"/>
    <w:rsid w:val="5FE66E54"/>
    <w:rsid w:val="60073C2B"/>
    <w:rsid w:val="60F207A7"/>
    <w:rsid w:val="611D747A"/>
    <w:rsid w:val="61590552"/>
    <w:rsid w:val="61C508C2"/>
    <w:rsid w:val="62035CBE"/>
    <w:rsid w:val="62646F6B"/>
    <w:rsid w:val="62F30B78"/>
    <w:rsid w:val="63587A98"/>
    <w:rsid w:val="63792628"/>
    <w:rsid w:val="637B56FE"/>
    <w:rsid w:val="63AA1B30"/>
    <w:rsid w:val="641E6B3A"/>
    <w:rsid w:val="64790197"/>
    <w:rsid w:val="655210CE"/>
    <w:rsid w:val="65CC2466"/>
    <w:rsid w:val="66325E43"/>
    <w:rsid w:val="66672403"/>
    <w:rsid w:val="66802B8D"/>
    <w:rsid w:val="668057AA"/>
    <w:rsid w:val="66D465AD"/>
    <w:rsid w:val="66E2623B"/>
    <w:rsid w:val="66F811A1"/>
    <w:rsid w:val="67791FFD"/>
    <w:rsid w:val="67836BDB"/>
    <w:rsid w:val="67CD45E5"/>
    <w:rsid w:val="69023084"/>
    <w:rsid w:val="69B37655"/>
    <w:rsid w:val="6A6726EC"/>
    <w:rsid w:val="6B3314B0"/>
    <w:rsid w:val="6C243719"/>
    <w:rsid w:val="6C3D5DF2"/>
    <w:rsid w:val="6C494DF6"/>
    <w:rsid w:val="6C535788"/>
    <w:rsid w:val="6D0C33CE"/>
    <w:rsid w:val="6DB664E0"/>
    <w:rsid w:val="6DCD37A8"/>
    <w:rsid w:val="6E3C104F"/>
    <w:rsid w:val="6E516B5F"/>
    <w:rsid w:val="6E573E36"/>
    <w:rsid w:val="6E7826E7"/>
    <w:rsid w:val="6E7D0CD4"/>
    <w:rsid w:val="6E940D81"/>
    <w:rsid w:val="6EAD74CB"/>
    <w:rsid w:val="6EE3711D"/>
    <w:rsid w:val="6EE95FB4"/>
    <w:rsid w:val="6F375E85"/>
    <w:rsid w:val="6F4269C6"/>
    <w:rsid w:val="6F791071"/>
    <w:rsid w:val="6F9C5425"/>
    <w:rsid w:val="702A2D1A"/>
    <w:rsid w:val="707C2B8B"/>
    <w:rsid w:val="70A745F2"/>
    <w:rsid w:val="70E47E69"/>
    <w:rsid w:val="70EE604B"/>
    <w:rsid w:val="710C65BE"/>
    <w:rsid w:val="712A099F"/>
    <w:rsid w:val="714847FF"/>
    <w:rsid w:val="71597546"/>
    <w:rsid w:val="71F42A3D"/>
    <w:rsid w:val="72160FFF"/>
    <w:rsid w:val="72C31C2E"/>
    <w:rsid w:val="72D629B2"/>
    <w:rsid w:val="730D1E74"/>
    <w:rsid w:val="73A03251"/>
    <w:rsid w:val="73A73FA8"/>
    <w:rsid w:val="741758FD"/>
    <w:rsid w:val="743A6C43"/>
    <w:rsid w:val="748207B1"/>
    <w:rsid w:val="74E266A0"/>
    <w:rsid w:val="75253575"/>
    <w:rsid w:val="755046C5"/>
    <w:rsid w:val="75A42F62"/>
    <w:rsid w:val="75C95074"/>
    <w:rsid w:val="767F55D8"/>
    <w:rsid w:val="76B90AE7"/>
    <w:rsid w:val="770B1195"/>
    <w:rsid w:val="778E79AE"/>
    <w:rsid w:val="77B603B4"/>
    <w:rsid w:val="77D65EFB"/>
    <w:rsid w:val="79084670"/>
    <w:rsid w:val="793816FF"/>
    <w:rsid w:val="79B04EE9"/>
    <w:rsid w:val="79F133DE"/>
    <w:rsid w:val="7A85499F"/>
    <w:rsid w:val="7AB85E58"/>
    <w:rsid w:val="7B675270"/>
    <w:rsid w:val="7BB0465E"/>
    <w:rsid w:val="7C29114D"/>
    <w:rsid w:val="7C527E82"/>
    <w:rsid w:val="7C986A15"/>
    <w:rsid w:val="7CD64C69"/>
    <w:rsid w:val="7CE51260"/>
    <w:rsid w:val="7D020C73"/>
    <w:rsid w:val="7D6E6E29"/>
    <w:rsid w:val="7D796F03"/>
    <w:rsid w:val="7D835A4C"/>
    <w:rsid w:val="7DAE70B9"/>
    <w:rsid w:val="7DDE70A5"/>
    <w:rsid w:val="7E1C3B9C"/>
    <w:rsid w:val="7E250D79"/>
    <w:rsid w:val="7EDA6657"/>
    <w:rsid w:val="7EDF2B1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宋体" w:cs="Times New Roman"/>
      <w:lang w:val="en-US" w:eastAsia="en-US" w:bidi="ar-SA"/>
    </w:rPr>
  </w:style>
  <w:style w:type="paragraph" w:styleId="2">
    <w:name w:val="heading 1"/>
    <w:next w:val="1"/>
    <w:link w:val="148"/>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154"/>
    <w:qFormat/>
    <w:uiPriority w:val="0"/>
    <w:pPr>
      <w:pBdr>
        <w:top w:val="none" w:color="auto" w:sz="0" w:space="0"/>
      </w:pBdr>
      <w:spacing w:before="180"/>
      <w:outlineLvl w:val="1"/>
    </w:pPr>
    <w:rPr>
      <w:rFonts w:eastAsia="MS Mincho"/>
      <w:sz w:val="32"/>
    </w:rPr>
  </w:style>
  <w:style w:type="paragraph" w:styleId="4">
    <w:name w:val="heading 3"/>
    <w:basedOn w:val="3"/>
    <w:next w:val="1"/>
    <w:link w:val="126"/>
    <w:qFormat/>
    <w:uiPriority w:val="0"/>
    <w:pPr>
      <w:spacing w:before="120"/>
      <w:outlineLvl w:val="2"/>
    </w:pPr>
    <w:rPr>
      <w:rFonts w:eastAsia="MS Mincho"/>
      <w:sz w:val="28"/>
    </w:rPr>
  </w:style>
  <w:style w:type="paragraph" w:styleId="5">
    <w:name w:val="heading 4"/>
    <w:basedOn w:val="4"/>
    <w:next w:val="1"/>
    <w:link w:val="129"/>
    <w:qFormat/>
    <w:uiPriority w:val="0"/>
    <w:pPr>
      <w:ind w:left="1418" w:hanging="1418"/>
      <w:outlineLvl w:val="3"/>
    </w:pPr>
    <w:rPr>
      <w:rFonts w:eastAsia="MS Mincho"/>
      <w:sz w:val="24"/>
    </w:rPr>
  </w:style>
  <w:style w:type="paragraph" w:styleId="6">
    <w:name w:val="heading 5"/>
    <w:basedOn w:val="5"/>
    <w:next w:val="1"/>
    <w:link w:val="12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1">
    <w:name w:val="Default Paragraph Font"/>
    <w:unhideWhenUsed/>
    <w:qFormat/>
    <w:uiPriority w:val="1"/>
  </w:style>
  <w:style w:type="table" w:default="1" w:styleId="48">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9"/>
    <w:qFormat/>
    <w:uiPriority w:val="0"/>
    <w:pPr>
      <w:spacing w:before="120" w:after="120"/>
    </w:pPr>
    <w:rPr>
      <w:rFonts w:eastAsia="MS Mincho"/>
      <w:b/>
      <w:bCs/>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37"/>
    <w:qFormat/>
    <w:uiPriority w:val="99"/>
    <w:rPr>
      <w:rFonts w:eastAsia="MS Mincho"/>
    </w:rPr>
  </w:style>
  <w:style w:type="paragraph" w:styleId="31">
    <w:name w:val="Body Text 3"/>
    <w:basedOn w:val="1"/>
    <w:qFormat/>
    <w:uiPriority w:val="0"/>
    <w:rPr>
      <w:i/>
    </w:rPr>
  </w:style>
  <w:style w:type="paragraph" w:styleId="32">
    <w:name w:val="Body Text"/>
    <w:basedOn w:val="1"/>
    <w:link w:val="138"/>
    <w:qFormat/>
    <w:uiPriority w:val="0"/>
    <w:pPr>
      <w:spacing w:after="120"/>
      <w:jc w:val="both"/>
    </w:pPr>
    <w:rPr>
      <w:rFonts w:ascii="Times" w:hAnsi="Times"/>
      <w:szCs w:val="24"/>
    </w:rPr>
  </w:style>
  <w:style w:type="paragraph" w:styleId="33">
    <w:name w:val="List Bullet 5"/>
    <w:basedOn w:val="24"/>
    <w:qFormat/>
    <w:uiPriority w:val="0"/>
    <w:pPr>
      <w:ind w:left="1702"/>
    </w:pPr>
  </w:style>
  <w:style w:type="paragraph" w:styleId="34">
    <w:name w:val="toc 8"/>
    <w:basedOn w:val="21"/>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link w:val="140"/>
    <w:qFormat/>
    <w:uiPriority w:val="99"/>
    <w:pPr>
      <w:jc w:val="center"/>
    </w:pPr>
    <w:rPr>
      <w:rFonts w:eastAsia="MS Mincho"/>
      <w:i/>
    </w:rPr>
  </w:style>
  <w:style w:type="paragraph" w:styleId="37">
    <w:name w:val="header"/>
    <w:link w:val="135"/>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US" w:eastAsia="en-US" w:bidi="ar-SA"/>
    </w:rPr>
  </w:style>
  <w:style w:type="paragraph" w:styleId="38">
    <w:name w:val="Subtitle"/>
    <w:basedOn w:val="1"/>
    <w:next w:val="1"/>
    <w:link w:val="131"/>
    <w:qFormat/>
    <w:uiPriority w:val="0"/>
    <w:pPr>
      <w:spacing w:after="60"/>
      <w:jc w:val="center"/>
      <w:outlineLvl w:val="1"/>
    </w:pPr>
    <w:rPr>
      <w:rFonts w:ascii="Cambria" w:hAnsi="Cambria" w:eastAsia="Times New Roman"/>
      <w:sz w:val="24"/>
      <w:szCs w:val="24"/>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pPr>
      <w:tabs>
        <w:tab w:val="left" w:pos="1985"/>
      </w:tabs>
      <w:spacing w:after="0"/>
      <w:jc w:val="both"/>
    </w:pPr>
    <w:rPr>
      <w:rFonts w:ascii="Arial" w:hAnsi="Arial"/>
      <w:sz w:val="22"/>
    </w:rPr>
  </w:style>
  <w:style w:type="paragraph" w:styleId="44">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paragraph" w:styleId="47">
    <w:name w:val="annotation subject"/>
    <w:basedOn w:val="30"/>
    <w:next w:val="30"/>
    <w:semiHidden/>
    <w:qFormat/>
    <w:uiPriority w:val="0"/>
    <w:rPr>
      <w:b/>
      <w:bCs/>
    </w:rPr>
  </w:style>
  <w:style w:type="table" w:styleId="49">
    <w:name w:val="Table Grid"/>
    <w:basedOn w:val="48"/>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0">
    <w:name w:val="Dark List Accent 6"/>
    <w:basedOn w:val="48"/>
    <w:qFormat/>
    <w:uiPriority w:val="70"/>
    <w:rPr>
      <w:color w:val="FFFFFF"/>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l2br w:val="nil"/>
          <w:tr2bl w:val="nil"/>
        </w:tcBorders>
        <w:shd w:val="clear" w:color="auto" w:fill="000000"/>
      </w:tcPr>
    </w:tblStylePr>
    <w:tblStylePr w:type="lastRow">
      <w:tblPr/>
      <w:tcPr>
        <w:tcBorders>
          <w:top w:val="single" w:color="FFFFFF" w:sz="18" w:space="0"/>
          <w:left w:val="nil"/>
          <w:bottom w:val="nil"/>
          <w:right w:val="nil"/>
          <w:insideH w:val="nil"/>
          <w:insideV w:val="nil"/>
          <w:tl2br w:val="nil"/>
          <w:tr2bl w:val="nil"/>
        </w:tcBorders>
        <w:shd w:val="clear" w:color="auto" w:fill="974706"/>
      </w:tcPr>
    </w:tblStylePr>
    <w:tblStylePr w:type="firstCol">
      <w:tblPr/>
      <w:tcPr>
        <w:tcBorders>
          <w:top w:val="nil"/>
          <w:left w:val="nil"/>
          <w:bottom w:val="nil"/>
          <w:right w:val="single" w:color="FFFFFF" w:sz="18" w:space="0"/>
          <w:insideH w:val="nil"/>
          <w:insideV w:val="nil"/>
          <w:tl2br w:val="nil"/>
          <w:tr2bl w:val="nil"/>
        </w:tcBorders>
        <w:shd w:val="clear" w:color="auto" w:fill="E36C0A"/>
      </w:tcPr>
    </w:tblStylePr>
    <w:tblStylePr w:type="lastCol">
      <w:tblPr/>
      <w:tcPr>
        <w:tcBorders>
          <w:top w:val="nil"/>
          <w:left w:val="single" w:color="FFFFFF" w:sz="18" w:space="0"/>
          <w:bottom w:val="nil"/>
          <w:right w:val="nil"/>
          <w:insideH w:val="nil"/>
          <w:insideV w:val="nil"/>
          <w:tl2br w:val="nil"/>
          <w:tr2bl w:val="nil"/>
        </w:tcBorders>
        <w:shd w:val="clear" w:color="auto" w:fill="E36C0A"/>
      </w:tcPr>
    </w:tblStylePr>
    <w:tblStylePr w:type="band1Vert">
      <w:tblPr/>
      <w:tcPr>
        <w:tcBorders>
          <w:top w:val="nil"/>
          <w:left w:val="nil"/>
          <w:bottom w:val="nil"/>
          <w:right w:val="nil"/>
          <w:insideH w:val="nil"/>
          <w:insideV w:val="nil"/>
          <w:tl2br w:val="nil"/>
          <w:tr2bl w:val="nil"/>
        </w:tcBorders>
        <w:shd w:val="clear" w:color="auto" w:fill="E36C0A"/>
      </w:tcPr>
    </w:tblStylePr>
    <w:tblStylePr w:type="band1Horz">
      <w:tblPr/>
      <w:tcPr>
        <w:tcBorders>
          <w:top w:val="nil"/>
          <w:left w:val="nil"/>
          <w:bottom w:val="nil"/>
          <w:right w:val="nil"/>
          <w:insideH w:val="nil"/>
          <w:insideV w:val="nil"/>
          <w:tl2br w:val="nil"/>
          <w:tr2bl w:val="nil"/>
        </w:tcBorders>
        <w:shd w:val="clear" w:color="auto" w:fill="E36C0A"/>
      </w:tcPr>
    </w:tblStylePr>
  </w:style>
  <w:style w:type="character" w:styleId="52">
    <w:name w:val="page number"/>
    <w:basedOn w:val="51"/>
    <w:qFormat/>
    <w:uiPriority w:val="0"/>
  </w:style>
  <w:style w:type="character" w:styleId="53">
    <w:name w:val="FollowedHyperlink"/>
    <w:qFormat/>
    <w:uiPriority w:val="0"/>
    <w:rPr>
      <w:color w:val="800080"/>
      <w:u w:val="single"/>
    </w:rPr>
  </w:style>
  <w:style w:type="character" w:styleId="54">
    <w:name w:val="Emphasis"/>
    <w:basedOn w:val="51"/>
    <w:qFormat/>
    <w:uiPriority w:val="20"/>
    <w:rPr>
      <w:i/>
      <w:iCs/>
    </w:rPr>
  </w:style>
  <w:style w:type="character" w:styleId="55">
    <w:name w:val="Hyperlink"/>
    <w:qFormat/>
    <w:uiPriority w:val="0"/>
    <w:rPr>
      <w:color w:val="0000FF"/>
      <w:u w:val="single"/>
    </w:rPr>
  </w:style>
  <w:style w:type="character" w:styleId="56">
    <w:name w:val="annotation reference"/>
    <w:qFormat/>
    <w:uiPriority w:val="99"/>
    <w:rPr>
      <w:sz w:val="16"/>
      <w:szCs w:val="16"/>
    </w:rPr>
  </w:style>
  <w:style w:type="character" w:styleId="57">
    <w:name w:val="footnote reference"/>
    <w:semiHidden/>
    <w:qFormat/>
    <w:uiPriority w:val="0"/>
    <w:rPr>
      <w:b/>
      <w:position w:val="6"/>
      <w:sz w:val="16"/>
    </w:rPr>
  </w:style>
  <w:style w:type="paragraph" w:customStyle="1" w:styleId="58">
    <w:name w:val="gpotbl_note"/>
    <w:basedOn w:val="1"/>
    <w:qFormat/>
    <w:uiPriority w:val="0"/>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5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60">
    <w:name w:val="cita"/>
    <w:basedOn w:val="1"/>
    <w:qFormat/>
    <w:uiPriority w:val="0"/>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61">
    <w:name w:val="body Char Char Char"/>
    <w:basedOn w:val="1"/>
    <w:qFormat/>
    <w:uiPriority w:val="0"/>
    <w:pPr>
      <w:tabs>
        <w:tab w:val="left" w:pos="2160"/>
      </w:tabs>
      <w:spacing w:before="120" w:after="120" w:line="280" w:lineRule="atLeast"/>
      <w:jc w:val="both"/>
    </w:pPr>
    <w:rPr>
      <w:rFonts w:ascii="New York" w:hAnsi="New York"/>
      <w:sz w:val="24"/>
    </w:rPr>
  </w:style>
  <w:style w:type="paragraph" w:customStyle="1" w:styleId="62">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63">
    <w:name w:val="EQ"/>
    <w:basedOn w:val="1"/>
    <w:next w:val="1"/>
    <w:qFormat/>
    <w:uiPriority w:val="0"/>
    <w:pPr>
      <w:keepLines/>
      <w:tabs>
        <w:tab w:val="center" w:pos="4536"/>
        <w:tab w:val="right" w:pos="9072"/>
      </w:tabs>
    </w:pPr>
  </w:style>
  <w:style w:type="paragraph" w:customStyle="1" w:styleId="64">
    <w:name w:val="gpotbl_title"/>
    <w:basedOn w:val="1"/>
    <w:qFormat/>
    <w:uiPriority w:val="0"/>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65">
    <w:name w:val="Doc-text2"/>
    <w:basedOn w:val="1"/>
    <w:link w:val="146"/>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paragraph" w:styleId="66">
    <w:name w:val="List Paragraph"/>
    <w:basedOn w:val="1"/>
    <w:link w:val="14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67">
    <w:name w:val="11 BodyText"/>
    <w:basedOn w:val="1"/>
    <w:qFormat/>
    <w:uiPriority w:val="0"/>
    <w:pPr>
      <w:spacing w:after="220"/>
      <w:ind w:left="1298"/>
    </w:pPr>
    <w:rPr>
      <w:rFonts w:ascii="Arial" w:hAnsi="Arial"/>
      <w:sz w:val="22"/>
    </w:rPr>
  </w:style>
  <w:style w:type="paragraph" w:customStyle="1" w:styleId="6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B3"/>
    <w:basedOn w:val="12"/>
    <w:qFormat/>
    <w:uiPriority w:val="0"/>
  </w:style>
  <w:style w:type="paragraph" w:customStyle="1" w:styleId="72">
    <w:name w:val="References"/>
    <w:basedOn w:val="1"/>
    <w:next w:val="1"/>
    <w:qFormat/>
    <w:uiPriority w:val="0"/>
    <w:pPr>
      <w:overflowPunct/>
      <w:adjustRightInd/>
      <w:snapToGrid w:val="0"/>
      <w:spacing w:after="60"/>
      <w:textAlignment w:val="auto"/>
    </w:pPr>
    <w:rPr>
      <w:rFonts w:eastAsia="宋体"/>
      <w:szCs w:val="16"/>
    </w:rPr>
  </w:style>
  <w:style w:type="paragraph" w:customStyle="1" w:styleId="73">
    <w:name w:val="FP"/>
    <w:basedOn w:val="1"/>
    <w:qFormat/>
    <w:uiPriority w:val="0"/>
    <w:pPr>
      <w:spacing w:after="0"/>
    </w:pPr>
  </w:style>
  <w:style w:type="paragraph" w:customStyle="1" w:styleId="74">
    <w:name w:val="TAH"/>
    <w:basedOn w:val="75"/>
    <w:link w:val="125"/>
    <w:qFormat/>
    <w:uiPriority w:val="0"/>
    <w:rPr>
      <w:rFonts w:eastAsia="MS Mincho"/>
      <w:b/>
    </w:rPr>
  </w:style>
  <w:style w:type="paragraph" w:customStyle="1" w:styleId="75">
    <w:name w:val="TAC"/>
    <w:basedOn w:val="76"/>
    <w:link w:val="144"/>
    <w:qFormat/>
    <w:uiPriority w:val="0"/>
    <w:pPr>
      <w:jc w:val="center"/>
    </w:pPr>
    <w:rPr>
      <w:rFonts w:eastAsia="MS Mincho"/>
    </w:rPr>
  </w:style>
  <w:style w:type="paragraph" w:customStyle="1" w:styleId="76">
    <w:name w:val="TAL"/>
    <w:basedOn w:val="1"/>
    <w:link w:val="156"/>
    <w:qFormat/>
    <w:uiPriority w:val="0"/>
    <w:pPr>
      <w:keepNext/>
      <w:keepLines/>
      <w:spacing w:after="0"/>
    </w:pPr>
    <w:rPr>
      <w:rFonts w:ascii="Arial" w:hAnsi="Arial"/>
      <w:sz w:val="18"/>
    </w:rPr>
  </w:style>
  <w:style w:type="paragraph" w:customStyle="1" w:styleId="77">
    <w:name w:val="Editor's Note"/>
    <w:basedOn w:val="70"/>
    <w:qFormat/>
    <w:uiPriority w:val="0"/>
    <w:rPr>
      <w:color w:val="FF0000"/>
    </w:rPr>
  </w:style>
  <w:style w:type="paragraph" w:customStyle="1" w:styleId="78">
    <w:name w:val="B1"/>
    <w:basedOn w:val="14"/>
    <w:link w:val="149"/>
    <w:qFormat/>
    <w:uiPriority w:val="0"/>
    <w:rPr>
      <w:rFonts w:eastAsia="MS Mincho"/>
    </w:rPr>
  </w:style>
  <w:style w:type="paragraph" w:customStyle="1" w:styleId="79">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80">
    <w:name w:val="ZV"/>
    <w:basedOn w:val="59"/>
    <w:qFormat/>
    <w:uiPriority w:val="0"/>
    <w:pPr>
      <w:framePr w:y="16161"/>
    </w:pPr>
  </w:style>
  <w:style w:type="paragraph" w:customStyle="1" w:styleId="81">
    <w:name w:val="TH"/>
    <w:basedOn w:val="1"/>
    <w:link w:val="133"/>
    <w:qFormat/>
    <w:uiPriority w:val="0"/>
    <w:pPr>
      <w:keepNext/>
      <w:keepLines/>
      <w:spacing w:before="60"/>
      <w:jc w:val="center"/>
    </w:pPr>
    <w:rPr>
      <w:rFonts w:ascii="Arial" w:hAnsi="Arial" w:eastAsia="MS Mincho"/>
      <w:b/>
    </w:rPr>
  </w:style>
  <w:style w:type="paragraph" w:customStyle="1" w:styleId="82">
    <w:name w:val="body"/>
    <w:basedOn w:val="1"/>
    <w:qFormat/>
    <w:uiPriority w:val="0"/>
    <w:pPr>
      <w:tabs>
        <w:tab w:val="left" w:pos="2160"/>
      </w:tabs>
      <w:spacing w:before="120" w:after="120" w:line="280" w:lineRule="atLeast"/>
      <w:jc w:val="both"/>
    </w:pPr>
    <w:rPr>
      <w:rFonts w:ascii="New York" w:hAnsi="New York"/>
      <w:sz w:val="24"/>
    </w:rPr>
  </w:style>
  <w:style w:type="paragraph" w:customStyle="1" w:styleId="83">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85">
    <w:name w:val="3GPP Agreements"/>
    <w:basedOn w:val="1"/>
    <w:link w:val="117"/>
    <w:qFormat/>
    <w:uiPriority w:val="0"/>
    <w:pPr>
      <w:numPr>
        <w:ilvl w:val="0"/>
        <w:numId w:val="1"/>
      </w:numPr>
      <w:spacing w:before="60" w:after="60"/>
      <w:jc w:val="both"/>
    </w:pPr>
    <w:rPr>
      <w:sz w:val="22"/>
      <w:lang w:eastAsia="zh-CN"/>
    </w:rPr>
  </w:style>
  <w:style w:type="paragraph" w:customStyle="1" w:styleId="8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87">
    <w:name w:val="Revision1"/>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88">
    <w:name w:val="Guidance"/>
    <w:basedOn w:val="1"/>
    <w:qFormat/>
    <w:uiPriority w:val="0"/>
    <w:pPr>
      <w:overflowPunct/>
      <w:autoSpaceDE/>
      <w:autoSpaceDN/>
      <w:adjustRightInd/>
      <w:textAlignment w:val="auto"/>
    </w:pPr>
    <w:rPr>
      <w:rFonts w:eastAsia="Times New Roman"/>
      <w:i/>
      <w:color w:val="0000FF"/>
      <w:lang w:val="en-GB"/>
    </w:rPr>
  </w:style>
  <w:style w:type="paragraph" w:customStyle="1" w:styleId="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90">
    <w:name w:val="NW"/>
    <w:basedOn w:val="70"/>
    <w:qFormat/>
    <w:uiPriority w:val="0"/>
    <w:pPr>
      <w:spacing w:after="0"/>
    </w:pPr>
  </w:style>
  <w:style w:type="paragraph" w:customStyle="1" w:styleId="91">
    <w:name w:val="Tdoc Reference"/>
    <w:basedOn w:val="1"/>
    <w:qFormat/>
    <w:uiPriority w:val="0"/>
    <w:pPr>
      <w:spacing w:after="120"/>
      <w:ind w:left="426" w:hanging="426"/>
    </w:pPr>
    <w:rPr>
      <w:rFonts w:eastAsia="Times New Roman"/>
      <w:lang w:eastAsia="zh-CN"/>
    </w:rPr>
  </w:style>
  <w:style w:type="paragraph" w:customStyle="1" w:styleId="92">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3">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paragraph" w:customStyle="1" w:styleId="94">
    <w:name w:val="00 BodyText"/>
    <w:basedOn w:val="1"/>
    <w:qFormat/>
    <w:uiPriority w:val="0"/>
    <w:pPr>
      <w:spacing w:after="220"/>
    </w:pPr>
    <w:rPr>
      <w:rFonts w:ascii="Arial" w:hAnsi="Arial"/>
      <w:sz w:val="22"/>
    </w:rPr>
  </w:style>
  <w:style w:type="paragraph" w:customStyle="1" w:styleId="95">
    <w:name w:val="text"/>
    <w:basedOn w:val="1"/>
    <w:qFormat/>
    <w:uiPriority w:val="0"/>
    <w:pPr>
      <w:spacing w:after="240"/>
      <w:jc w:val="both"/>
    </w:pPr>
    <w:rPr>
      <w:sz w:val="24"/>
      <w:lang w:eastAsia="zh-CN"/>
    </w:rPr>
  </w:style>
  <w:style w:type="paragraph" w:customStyle="1" w:styleId="96">
    <w:name w:val="Reference"/>
    <w:basedOn w:val="32"/>
    <w:qFormat/>
    <w:uiPriority w:val="0"/>
    <w:pPr>
      <w:tabs>
        <w:tab w:val="left" w:pos="360"/>
      </w:tabs>
      <w:suppressAutoHyphens/>
      <w:autoSpaceDN/>
      <w:adjustRightInd/>
    </w:pPr>
    <w:rPr>
      <w:lang w:eastAsia="ar-SA"/>
    </w:rPr>
  </w:style>
  <w:style w:type="paragraph" w:customStyle="1" w:styleId="97">
    <w:name w:val="fp-2"/>
    <w:basedOn w:val="1"/>
    <w:qFormat/>
    <w:uiPriority w:val="0"/>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98">
    <w:name w:val="source"/>
    <w:basedOn w:val="1"/>
    <w:qFormat/>
    <w:uiPriority w:val="0"/>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99">
    <w:name w:val="CR Cover Page"/>
    <w:qFormat/>
    <w:uiPriority w:val="0"/>
    <w:pPr>
      <w:spacing w:after="120" w:line="259" w:lineRule="auto"/>
    </w:pPr>
    <w:rPr>
      <w:rFonts w:ascii="Arial" w:hAnsi="Arial" w:eastAsia="宋体" w:cs="Times New Roman"/>
      <w:lang w:val="en-GB" w:eastAsia="en-US" w:bidi="ar-SA"/>
    </w:rPr>
  </w:style>
  <w:style w:type="paragraph" w:customStyle="1" w:styleId="100">
    <w:name w:val="B4"/>
    <w:basedOn w:val="41"/>
    <w:qFormat/>
    <w:uiPriority w:val="0"/>
  </w:style>
  <w:style w:type="paragraph" w:customStyle="1" w:styleId="101">
    <w:name w:val="EW"/>
    <w:basedOn w:val="102"/>
    <w:qFormat/>
    <w:uiPriority w:val="0"/>
    <w:pPr>
      <w:spacing w:after="0"/>
    </w:pPr>
  </w:style>
  <w:style w:type="paragraph" w:customStyle="1" w:styleId="102">
    <w:name w:val="EX"/>
    <w:basedOn w:val="1"/>
    <w:link w:val="152"/>
    <w:qFormat/>
    <w:uiPriority w:val="0"/>
    <w:pPr>
      <w:keepLines/>
      <w:ind w:left="1702" w:hanging="1418"/>
    </w:pPr>
    <w:rPr>
      <w:rFonts w:eastAsia="MS Mincho"/>
    </w:rPr>
  </w:style>
  <w:style w:type="paragraph" w:customStyle="1" w:styleId="103">
    <w:name w:val="Bulleted o 1"/>
    <w:basedOn w:val="1"/>
    <w:qFormat/>
    <w:uiPriority w:val="0"/>
    <w:pPr>
      <w:numPr>
        <w:ilvl w:val="0"/>
        <w:numId w:val="2"/>
      </w:numPr>
    </w:pPr>
  </w:style>
  <w:style w:type="paragraph" w:customStyle="1" w:styleId="10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105">
    <w:name w:val="TAR"/>
    <w:basedOn w:val="76"/>
    <w:qFormat/>
    <w:uiPriority w:val="0"/>
    <w:pPr>
      <w:jc w:val="right"/>
    </w:pPr>
  </w:style>
  <w:style w:type="paragraph" w:customStyle="1" w:styleId="106">
    <w:name w:val="B5"/>
    <w:basedOn w:val="40"/>
    <w:qFormat/>
    <w:uiPriority w:val="0"/>
  </w:style>
  <w:style w:type="paragraph" w:customStyle="1" w:styleId="107">
    <w:name w:val="ZTD"/>
    <w:basedOn w:val="62"/>
    <w:qFormat/>
    <w:uiPriority w:val="0"/>
    <w:pPr>
      <w:framePr w:hRule="auto" w:y="852"/>
    </w:pPr>
    <w:rPr>
      <w:i w:val="0"/>
      <w:sz w:val="40"/>
    </w:rPr>
  </w:style>
  <w:style w:type="paragraph" w:customStyle="1" w:styleId="108">
    <w:name w:val="table"/>
    <w:basedOn w:val="95"/>
    <w:next w:val="95"/>
    <w:qFormat/>
    <w:uiPriority w:val="0"/>
    <w:pPr>
      <w:spacing w:after="0"/>
      <w:jc w:val="center"/>
    </w:pPr>
    <w:rPr>
      <w:sz w:val="20"/>
    </w:rPr>
  </w:style>
  <w:style w:type="paragraph" w:customStyle="1" w:styleId="109">
    <w:name w:val="main text"/>
    <w:basedOn w:val="1"/>
    <w:link w:val="145"/>
    <w:qFormat/>
    <w:uiPriority w:val="0"/>
    <w:pPr>
      <w:overflowPunct/>
      <w:autoSpaceDE/>
      <w:autoSpaceDN/>
      <w:adjustRightInd/>
      <w:spacing w:before="60" w:after="60" w:line="288" w:lineRule="auto"/>
      <w:ind w:firstLine="200" w:firstLineChars="200"/>
      <w:jc w:val="both"/>
      <w:textAlignment w:val="auto"/>
    </w:pPr>
    <w:rPr>
      <w:rFonts w:eastAsia="Malgun Gothic" w:cs="Batang"/>
      <w:lang w:val="en-GB" w:eastAsia="ko-KR"/>
    </w:rPr>
  </w:style>
  <w:style w:type="paragraph" w:customStyle="1" w:styleId="110">
    <w:name w:val="TF"/>
    <w:basedOn w:val="81"/>
    <w:link w:val="132"/>
    <w:qFormat/>
    <w:uiPriority w:val="0"/>
    <w:pPr>
      <w:keepNext w:val="0"/>
      <w:spacing w:before="0" w:after="240"/>
    </w:pPr>
  </w:style>
  <w:style w:type="paragraph" w:customStyle="1" w:styleId="111">
    <w:name w:val="TT"/>
    <w:basedOn w:val="2"/>
    <w:next w:val="1"/>
    <w:qFormat/>
    <w:uiPriority w:val="0"/>
    <w:pPr>
      <w:outlineLvl w:val="9"/>
    </w:pPr>
  </w:style>
  <w:style w:type="paragraph" w:customStyle="1" w:styleId="112">
    <w:name w:val="TAN"/>
    <w:basedOn w:val="76"/>
    <w:link w:val="119"/>
    <w:qFormat/>
    <w:uiPriority w:val="0"/>
    <w:pPr>
      <w:ind w:left="851" w:hanging="851"/>
    </w:pPr>
    <w:rPr>
      <w:rFonts w:eastAsia="MS Mincho"/>
    </w:rPr>
  </w:style>
  <w:style w:type="paragraph" w:customStyle="1" w:styleId="113">
    <w:name w:val="B2"/>
    <w:basedOn w:val="13"/>
    <w:link w:val="159"/>
    <w:qFormat/>
    <w:uiPriority w:val="0"/>
    <w:rPr>
      <w:rFonts w:eastAsia="MS Mincho"/>
    </w:rPr>
  </w:style>
  <w:style w:type="paragraph" w:customStyle="1" w:styleId="114">
    <w:name w:val="N1"/>
    <w:basedOn w:val="1"/>
    <w:link w:val="124"/>
    <w:qFormat/>
    <w:uiPriority w:val="0"/>
    <w:pPr>
      <w:overflowPunct/>
      <w:autoSpaceDE/>
      <w:autoSpaceDN/>
      <w:adjustRightInd/>
      <w:spacing w:after="0"/>
      <w:ind w:left="634"/>
      <w:textAlignment w:val="auto"/>
    </w:pPr>
    <w:rPr>
      <w:rFonts w:ascii="MS Mincho" w:hAnsi="CG Times (WN)" w:cs="Calibri"/>
      <w:lang w:eastAsia="ko-KR" w:bidi="hi-IN"/>
    </w:rPr>
  </w:style>
  <w:style w:type="paragraph" w:customStyle="1" w:styleId="115">
    <w:name w:val="Style Body Textbt + 11 pt Left First line:  0.51 cm Before:  12..."/>
    <w:basedOn w:val="32"/>
    <w:qFormat/>
    <w:uiPriority w:val="0"/>
    <w:pPr>
      <w:spacing w:before="240"/>
      <w:ind w:firstLine="288"/>
      <w:jc w:val="left"/>
    </w:pPr>
    <w:rPr>
      <w:rFonts w:ascii="Times New Roman" w:hAnsi="Times New Roman" w:eastAsia="Times New Roman"/>
      <w:sz w:val="22"/>
      <w:szCs w:val="20"/>
    </w:rPr>
  </w:style>
  <w:style w:type="paragraph" w:customStyle="1" w:styleId="116">
    <w:name w:val="fp"/>
    <w:basedOn w:val="1"/>
    <w:qFormat/>
    <w:uiPriority w:val="0"/>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117">
    <w:name w:val="3GPP Agreements Char"/>
    <w:link w:val="85"/>
    <w:qFormat/>
    <w:uiPriority w:val="0"/>
    <w:rPr>
      <w:rFonts w:ascii="Times New Roman" w:hAnsi="Times New Roman" w:eastAsia="宋体"/>
      <w:sz w:val="22"/>
      <w:lang w:eastAsia="zh-CN"/>
    </w:rPr>
  </w:style>
  <w:style w:type="character" w:customStyle="1" w:styleId="118">
    <w:name w:val="su"/>
    <w:basedOn w:val="51"/>
    <w:qFormat/>
    <w:uiPriority w:val="0"/>
  </w:style>
  <w:style w:type="character" w:customStyle="1" w:styleId="119">
    <w:name w:val="TAN Char"/>
    <w:link w:val="112"/>
    <w:qFormat/>
    <w:locked/>
    <w:uiPriority w:val="0"/>
    <w:rPr>
      <w:rFonts w:ascii="Arial" w:hAnsi="Arial"/>
      <w:sz w:val="18"/>
      <w:lang w:eastAsia="en-US"/>
    </w:rPr>
  </w:style>
  <w:style w:type="character" w:customStyle="1" w:styleId="120">
    <w:name w:val="B1 Char"/>
    <w:qFormat/>
    <w:locked/>
    <w:uiPriority w:val="0"/>
    <w:rPr>
      <w:rFonts w:ascii="Arial" w:hAnsi="Arial" w:cs="Arial"/>
      <w:lang w:val="en-GB" w:eastAsia="en-US"/>
    </w:rPr>
  </w:style>
  <w:style w:type="character" w:customStyle="1" w:styleId="121">
    <w:name w:val="TAL Car"/>
    <w:qFormat/>
    <w:uiPriority w:val="0"/>
    <w:rPr>
      <w:rFonts w:ascii="Arial" w:hAnsi="Arial" w:eastAsia="Times New Roman" w:cs="Times New Roman"/>
      <w:sz w:val="18"/>
      <w:szCs w:val="20"/>
      <w:lang w:val="en-GB" w:eastAsia="en-GB"/>
    </w:rPr>
  </w:style>
  <w:style w:type="character" w:customStyle="1" w:styleId="122">
    <w:name w:val="Heading 5 Char"/>
    <w:link w:val="6"/>
    <w:qFormat/>
    <w:uiPriority w:val="0"/>
    <w:rPr>
      <w:rFonts w:ascii="Arial" w:hAnsi="Arial"/>
      <w:sz w:val="22"/>
      <w:lang w:val="en-GB" w:eastAsia="en-US"/>
    </w:rPr>
  </w:style>
  <w:style w:type="character" w:customStyle="1" w:styleId="123">
    <w:name w:val="Heading 1 Char"/>
    <w:qFormat/>
    <w:uiPriority w:val="0"/>
    <w:rPr>
      <w:rFonts w:ascii="Arial" w:hAnsi="Arial"/>
      <w:sz w:val="36"/>
      <w:lang w:val="en-GB" w:eastAsia="en-US" w:bidi="ar-SA"/>
    </w:rPr>
  </w:style>
  <w:style w:type="character" w:customStyle="1" w:styleId="124">
    <w:name w:val="N1 Char"/>
    <w:basedOn w:val="51"/>
    <w:link w:val="114"/>
    <w:qFormat/>
    <w:locked/>
    <w:uiPriority w:val="0"/>
    <w:rPr>
      <w:rFonts w:ascii="MS Mincho" w:eastAsia="宋体" w:cs="Calibri"/>
      <w:lang w:bidi="hi-IN"/>
    </w:rPr>
  </w:style>
  <w:style w:type="character" w:customStyle="1" w:styleId="125">
    <w:name w:val="TAH Car"/>
    <w:link w:val="74"/>
    <w:qFormat/>
    <w:uiPriority w:val="0"/>
    <w:rPr>
      <w:rFonts w:ascii="Arial" w:hAnsi="Arial"/>
      <w:b/>
      <w:sz w:val="18"/>
      <w:lang w:eastAsia="en-US"/>
    </w:rPr>
  </w:style>
  <w:style w:type="character" w:customStyle="1" w:styleId="126">
    <w:name w:val="Heading 3 Char"/>
    <w:link w:val="4"/>
    <w:qFormat/>
    <w:uiPriority w:val="0"/>
    <w:rPr>
      <w:rFonts w:ascii="Arial" w:hAnsi="Arial"/>
      <w:sz w:val="28"/>
      <w:lang w:val="en-GB" w:eastAsia="en-US"/>
    </w:rPr>
  </w:style>
  <w:style w:type="character" w:customStyle="1" w:styleId="127">
    <w:name w:val="Char Char"/>
    <w:qFormat/>
    <w:uiPriority w:val="0"/>
    <w:rPr>
      <w:rFonts w:ascii="Arial" w:hAnsi="Arial"/>
      <w:sz w:val="22"/>
      <w:lang w:val="en-GB" w:eastAsia="en-US" w:bidi="ar-SA"/>
    </w:rPr>
  </w:style>
  <w:style w:type="character" w:customStyle="1" w:styleId="128">
    <w:name w:val="B1 (文字)"/>
    <w:qFormat/>
    <w:locked/>
    <w:uiPriority w:val="0"/>
    <w:rPr>
      <w:rFonts w:ascii="Times New Roman" w:hAnsi="Times New Roman"/>
      <w:lang w:val="en-GB" w:eastAsia="en-US"/>
    </w:rPr>
  </w:style>
  <w:style w:type="character" w:customStyle="1" w:styleId="129">
    <w:name w:val="Heading 4 Char"/>
    <w:link w:val="5"/>
    <w:qFormat/>
    <w:uiPriority w:val="0"/>
    <w:rPr>
      <w:rFonts w:ascii="Arial" w:hAnsi="Arial"/>
      <w:sz w:val="24"/>
      <w:lang w:val="en-GB" w:eastAsia="en-US"/>
    </w:rPr>
  </w:style>
  <w:style w:type="character" w:customStyle="1" w:styleId="130">
    <w:name w:val="首标题"/>
    <w:qFormat/>
    <w:uiPriority w:val="0"/>
    <w:rPr>
      <w:rFonts w:ascii="Arial" w:hAnsi="Arial" w:eastAsia="宋体"/>
      <w:sz w:val="24"/>
    </w:rPr>
  </w:style>
  <w:style w:type="character" w:customStyle="1" w:styleId="131">
    <w:name w:val="Subtitle Char"/>
    <w:link w:val="38"/>
    <w:qFormat/>
    <w:uiPriority w:val="0"/>
    <w:rPr>
      <w:rFonts w:ascii="Cambria" w:hAnsi="Cambria" w:eastAsia="Times New Roman"/>
      <w:sz w:val="24"/>
      <w:szCs w:val="24"/>
    </w:rPr>
  </w:style>
  <w:style w:type="character" w:customStyle="1" w:styleId="132">
    <w:name w:val="TF Char"/>
    <w:link w:val="110"/>
    <w:qFormat/>
    <w:uiPriority w:val="0"/>
    <w:rPr>
      <w:rFonts w:ascii="Arial" w:hAnsi="Arial"/>
      <w:b/>
      <w:lang w:eastAsia="en-US"/>
    </w:rPr>
  </w:style>
  <w:style w:type="character" w:customStyle="1" w:styleId="133">
    <w:name w:val="TH Char"/>
    <w:link w:val="81"/>
    <w:qFormat/>
    <w:uiPriority w:val="0"/>
    <w:rPr>
      <w:rFonts w:ascii="Arial" w:hAnsi="Arial"/>
      <w:b/>
      <w:lang w:eastAsia="en-US"/>
    </w:rPr>
  </w:style>
  <w:style w:type="character" w:customStyle="1" w:styleId="134">
    <w:name w:val="ZGSM"/>
    <w:qFormat/>
    <w:uiPriority w:val="0"/>
  </w:style>
  <w:style w:type="character" w:customStyle="1" w:styleId="135">
    <w:name w:val="Header Char"/>
    <w:basedOn w:val="51"/>
    <w:link w:val="37"/>
    <w:qFormat/>
    <w:locked/>
    <w:uiPriority w:val="0"/>
    <w:rPr>
      <w:rFonts w:ascii="Arial" w:hAnsi="Arial" w:eastAsia="宋体"/>
      <w:b/>
      <w:sz w:val="18"/>
      <w:lang w:val="en-US" w:eastAsia="en-US" w:bidi="ar-SA"/>
    </w:rPr>
  </w:style>
  <w:style w:type="character" w:customStyle="1" w:styleId="136">
    <w:name w:val="h4 Char Char"/>
    <w:qFormat/>
    <w:uiPriority w:val="0"/>
    <w:rPr>
      <w:rFonts w:ascii="Arial" w:hAnsi="Arial"/>
      <w:sz w:val="24"/>
      <w:lang w:val="en-GB" w:eastAsia="en-US" w:bidi="ar-SA"/>
    </w:rPr>
  </w:style>
  <w:style w:type="character" w:customStyle="1" w:styleId="137">
    <w:name w:val="Comment Text Char"/>
    <w:link w:val="30"/>
    <w:qFormat/>
    <w:uiPriority w:val="99"/>
    <w:rPr>
      <w:rFonts w:ascii="Times New Roman" w:hAnsi="Times New Roman"/>
    </w:rPr>
  </w:style>
  <w:style w:type="character" w:customStyle="1" w:styleId="138">
    <w:name w:val="Body Text Char"/>
    <w:basedOn w:val="51"/>
    <w:link w:val="32"/>
    <w:qFormat/>
    <w:uiPriority w:val="0"/>
    <w:rPr>
      <w:rFonts w:ascii="Times" w:hAnsi="Times"/>
      <w:szCs w:val="24"/>
      <w:lang w:eastAsia="en-US"/>
    </w:rPr>
  </w:style>
  <w:style w:type="character" w:customStyle="1" w:styleId="139">
    <w:name w:val="Caption Char"/>
    <w:link w:val="28"/>
    <w:qFormat/>
    <w:locked/>
    <w:uiPriority w:val="0"/>
    <w:rPr>
      <w:rFonts w:ascii="Times New Roman" w:hAnsi="Times New Roman"/>
      <w:b/>
      <w:bCs/>
      <w:lang w:eastAsia="en-US"/>
    </w:rPr>
  </w:style>
  <w:style w:type="character" w:customStyle="1" w:styleId="140">
    <w:name w:val="Footer Char"/>
    <w:link w:val="36"/>
    <w:qFormat/>
    <w:uiPriority w:val="99"/>
    <w:rPr>
      <w:rFonts w:ascii="Arial" w:hAnsi="Arial"/>
      <w:b/>
      <w:i/>
      <w:sz w:val="18"/>
      <w:lang w:eastAsia="en-US"/>
    </w:rPr>
  </w:style>
  <w:style w:type="character" w:customStyle="1" w:styleId="141">
    <w:name w:val="List Paragraph Char"/>
    <w:link w:val="66"/>
    <w:qFormat/>
    <w:locked/>
    <w:uiPriority w:val="34"/>
    <w:rPr>
      <w:rFonts w:ascii="Calibri" w:hAnsi="Calibri" w:eastAsia="Calibri"/>
      <w:sz w:val="22"/>
      <w:szCs w:val="22"/>
      <w:lang w:eastAsia="en-US"/>
    </w:rPr>
  </w:style>
  <w:style w:type="character" w:customStyle="1" w:styleId="142">
    <w:name w:val="PL Char"/>
    <w:basedOn w:val="51"/>
    <w:link w:val="93"/>
    <w:qFormat/>
    <w:locked/>
    <w:uiPriority w:val="0"/>
    <w:rPr>
      <w:rFonts w:ascii="Courier New" w:hAnsi="Courier New" w:eastAsia="宋体"/>
      <w:sz w:val="16"/>
      <w:lang w:val="en-US" w:eastAsia="en-US" w:bidi="ar-SA"/>
    </w:rPr>
  </w:style>
  <w:style w:type="character" w:customStyle="1" w:styleId="143">
    <w:name w:val="fontstyle21"/>
    <w:basedOn w:val="51"/>
    <w:qFormat/>
    <w:uiPriority w:val="0"/>
    <w:rPr>
      <w:rFonts w:hint="default" w:ascii="TimesNewRomanPSMT" w:hAnsi="TimesNewRomanPSMT"/>
      <w:color w:val="000000"/>
      <w:sz w:val="22"/>
      <w:szCs w:val="22"/>
    </w:rPr>
  </w:style>
  <w:style w:type="character" w:customStyle="1" w:styleId="144">
    <w:name w:val="TAC Char"/>
    <w:link w:val="75"/>
    <w:qFormat/>
    <w:locked/>
    <w:uiPriority w:val="0"/>
    <w:rPr>
      <w:rFonts w:ascii="Arial" w:hAnsi="Arial"/>
      <w:sz w:val="18"/>
      <w:lang w:eastAsia="en-US"/>
    </w:rPr>
  </w:style>
  <w:style w:type="character" w:customStyle="1" w:styleId="145">
    <w:name w:val="main text Char"/>
    <w:basedOn w:val="51"/>
    <w:link w:val="109"/>
    <w:qFormat/>
    <w:uiPriority w:val="0"/>
    <w:rPr>
      <w:rFonts w:ascii="Times New Roman" w:hAnsi="Times New Roman" w:eastAsia="Malgun Gothic" w:cs="Batang"/>
      <w:lang w:val="en-GB"/>
    </w:rPr>
  </w:style>
  <w:style w:type="character" w:customStyle="1" w:styleId="146">
    <w:name w:val="Doc-text2 Char"/>
    <w:link w:val="65"/>
    <w:qFormat/>
    <w:uiPriority w:val="0"/>
    <w:rPr>
      <w:rFonts w:ascii="Arial" w:hAnsi="Arial" w:eastAsia="MS Mincho"/>
      <w:szCs w:val="24"/>
      <w:lang w:eastAsia="en-GB"/>
    </w:rPr>
  </w:style>
  <w:style w:type="character" w:customStyle="1" w:styleId="147">
    <w:name w:val="fontstyle01"/>
    <w:basedOn w:val="51"/>
    <w:qFormat/>
    <w:uiPriority w:val="0"/>
    <w:rPr>
      <w:rFonts w:hint="default" w:ascii="TimesNewRomanPS-BoldMT" w:hAnsi="TimesNewRomanPS-BoldMT"/>
      <w:b/>
      <w:bCs/>
      <w:color w:val="000000"/>
      <w:sz w:val="22"/>
      <w:szCs w:val="22"/>
    </w:rPr>
  </w:style>
  <w:style w:type="character" w:customStyle="1" w:styleId="148">
    <w:name w:val="Heading 1 Char1"/>
    <w:link w:val="2"/>
    <w:qFormat/>
    <w:uiPriority w:val="0"/>
    <w:rPr>
      <w:rFonts w:ascii="Arial" w:hAnsi="Arial"/>
      <w:sz w:val="36"/>
      <w:lang w:val="en-GB" w:eastAsia="en-US" w:bidi="ar-SA"/>
    </w:rPr>
  </w:style>
  <w:style w:type="character" w:customStyle="1" w:styleId="149">
    <w:name w:val="B1 Zchn"/>
    <w:link w:val="78"/>
    <w:qFormat/>
    <w:uiPriority w:val="0"/>
    <w:rPr>
      <w:rFonts w:ascii="Times New Roman" w:hAnsi="Times New Roman"/>
      <w:lang w:eastAsia="en-US"/>
    </w:rPr>
  </w:style>
  <w:style w:type="character" w:styleId="150">
    <w:name w:val="Placeholder Text"/>
    <w:semiHidden/>
    <w:qFormat/>
    <w:uiPriority w:val="99"/>
    <w:rPr>
      <w:color w:val="808080"/>
    </w:rPr>
  </w:style>
  <w:style w:type="character" w:customStyle="1" w:styleId="151">
    <w:name w:val="B2 Car"/>
    <w:qFormat/>
    <w:locked/>
    <w:uiPriority w:val="0"/>
    <w:rPr>
      <w:rFonts w:ascii="Arial" w:hAnsi="Arial" w:cs="Arial"/>
      <w:lang w:val="en-GB" w:eastAsia="en-US"/>
    </w:rPr>
  </w:style>
  <w:style w:type="character" w:customStyle="1" w:styleId="152">
    <w:name w:val="EX Char"/>
    <w:link w:val="102"/>
    <w:qFormat/>
    <w:locked/>
    <w:uiPriority w:val="0"/>
    <w:rPr>
      <w:rFonts w:ascii="Times New Roman" w:hAnsi="Times New Roman"/>
      <w:lang w:eastAsia="en-US"/>
    </w:rPr>
  </w:style>
  <w:style w:type="character" w:customStyle="1" w:styleId="153">
    <w:name w:val="Char Char1"/>
    <w:qFormat/>
    <w:uiPriority w:val="0"/>
    <w:rPr>
      <w:rFonts w:ascii="Arial" w:hAnsi="Arial"/>
      <w:sz w:val="28"/>
      <w:lang w:val="en-GB" w:eastAsia="en-US" w:bidi="ar-SA"/>
    </w:rPr>
  </w:style>
  <w:style w:type="character" w:customStyle="1" w:styleId="154">
    <w:name w:val="Heading 2 Char"/>
    <w:link w:val="3"/>
    <w:qFormat/>
    <w:uiPriority w:val="0"/>
    <w:rPr>
      <w:rFonts w:ascii="Arial" w:hAnsi="Arial"/>
      <w:sz w:val="32"/>
      <w:lang w:val="en-GB" w:eastAsia="en-US"/>
    </w:rPr>
  </w:style>
  <w:style w:type="character" w:customStyle="1" w:styleId="155">
    <w:name w:val="MTEquationSection"/>
    <w:qFormat/>
    <w:uiPriority w:val="0"/>
    <w:rPr>
      <w:rFonts w:ascii="Arial" w:hAnsi="Arial"/>
      <w:color w:val="FF0000"/>
      <w:sz w:val="24"/>
    </w:rPr>
  </w:style>
  <w:style w:type="character" w:customStyle="1" w:styleId="156">
    <w:name w:val="TAL Char"/>
    <w:basedOn w:val="51"/>
    <w:link w:val="76"/>
    <w:qFormat/>
    <w:locked/>
    <w:uiPriority w:val="0"/>
    <w:rPr>
      <w:rFonts w:ascii="Arial" w:hAnsi="Arial"/>
      <w:sz w:val="18"/>
      <w:lang w:eastAsia="en-US"/>
    </w:rPr>
  </w:style>
  <w:style w:type="character" w:customStyle="1" w:styleId="157">
    <w:name w:val="Char Char3"/>
    <w:qFormat/>
    <w:uiPriority w:val="0"/>
    <w:rPr>
      <w:rFonts w:ascii="Arial" w:hAnsi="Arial"/>
      <w:sz w:val="36"/>
      <w:lang w:val="en-GB" w:eastAsia="en-US" w:bidi="ar-SA"/>
    </w:rPr>
  </w:style>
  <w:style w:type="character" w:customStyle="1" w:styleId="158">
    <w:name w:val="Char Char2"/>
    <w:qFormat/>
    <w:uiPriority w:val="0"/>
    <w:rPr>
      <w:rFonts w:ascii="Arial" w:hAnsi="Arial"/>
      <w:sz w:val="32"/>
      <w:lang w:val="en-GB" w:eastAsia="en-US" w:bidi="ar-SA"/>
    </w:rPr>
  </w:style>
  <w:style w:type="character" w:customStyle="1" w:styleId="159">
    <w:name w:val="B2 Char"/>
    <w:link w:val="113"/>
    <w:qFormat/>
    <w:uiPriority w:val="0"/>
    <w:rPr>
      <w:rFonts w:ascii="Times New Roman" w:hAnsi="Times New Roman"/>
      <w:lang w:eastAsia="en-US"/>
    </w:rPr>
  </w:style>
  <w:style w:type="table" w:customStyle="1" w:styleId="160">
    <w:name w:val="普通表格1"/>
    <w:semiHidden/>
    <w:qFormat/>
    <w:uiPriority w:val="0"/>
    <w:rPr>
      <w:rFonts w:eastAsia="Times New Roman"/>
      <w:lang w:val="en-US" w:eastAsia="zh-CN" w:bidi="ar-SA"/>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RAN1 Tdoc Template.dotx</Template>
  <Company>ZTE</Company>
  <Pages>6</Pages>
  <Words>2543</Words>
  <Characters>14497</Characters>
  <Lines>120</Lines>
  <Paragraphs>34</Paragraphs>
  <TotalTime>152</TotalTime>
  <ScaleCrop>false</ScaleCrop>
  <LinksUpToDate>false</LinksUpToDate>
  <CharactersWithSpaces>17006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#102</cp:category>
  <dcterms:created xsi:type="dcterms:W3CDTF">2019-09-10T00:49:00Z</dcterms:created>
  <dc:creator>ZTE</dc:creator>
  <cp:lastModifiedBy>ZTE</cp:lastModifiedBy>
  <cp:lastPrinted>2011-11-10T12:49:00Z</cp:lastPrinted>
  <dcterms:modified xsi:type="dcterms:W3CDTF">2023-12-04T06:21:23Z</dcterms:modified>
  <dc:subject>RP-23xxxx</dc:subject>
  <dc:title>Views on the scope of WAB</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2052-11.8.2.9022</vt:lpwstr>
  </property>
  <property fmtid="{D5CDD505-2E9C-101B-9397-08002B2CF9AE}" pid="15" name="ICV">
    <vt:lpwstr>27B7E2E7425B4F8B8010D991AFAAD966</vt:lpwstr>
  </property>
</Properties>
</file>